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F1490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F14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E4BF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1E4BF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1E4BF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1E4BF1" w:rsidRDefault="001F1490" w:rsidP="001E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490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схему размещения нестационарных торговых объектов, расположенных на земельных участках, в зданиях, строениях, сооружениях, находящихся в государственной собственности или муниципальной собственности, на территории Мошенского муниципального района».</w:t>
            </w:r>
          </w:p>
        </w:tc>
      </w:tr>
      <w:tr w:rsidR="005E725F" w:rsidRPr="00D55144" w:rsidTr="00FF58BB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F1490" w:rsidRDefault="001F1490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490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схему размещения нестационарных торговых объектов, расположенных на земельных участках, в зданиях, строениях, сооружениях, находящихся в государственной собственности или муниципальной собственности, на территории Мошенского муниципального района».</w:t>
            </w:r>
          </w:p>
          <w:p w:rsidR="001F1490" w:rsidRDefault="006C54E7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1F1490">
              <w:rPr>
                <w:rFonts w:ascii="Times New Roman" w:hAnsi="Times New Roman" w:cs="Times New Roman"/>
                <w:sz w:val="28"/>
              </w:rPr>
              <w:t xml:space="preserve">что проект постановления </w:t>
            </w:r>
            <w:r w:rsidR="001F1490"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F1490" w:rsidRPr="001F149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схему размещения нестационарных торговых объектов, расположенных на земельных участках, в зданиях, строениях, сооружениях, находящихся в государственной собственности или муниципальной собственности, на территории Мошенского муниципального района</w:t>
            </w:r>
            <w:r w:rsidR="001F1490"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F1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1490">
              <w:rPr>
                <w:rFonts w:ascii="Times New Roman" w:hAnsi="Times New Roman" w:cs="Times New Roman"/>
                <w:sz w:val="28"/>
              </w:rPr>
              <w:t>рассматривается в рамках оценки регулирующего воздействия</w:t>
            </w:r>
            <w:r w:rsidR="001F1490">
              <w:rPr>
                <w:rFonts w:ascii="Times New Roman" w:hAnsi="Times New Roman" w:cs="Times New Roman"/>
                <w:sz w:val="28"/>
              </w:rPr>
              <w:t>. Подготовка проекта постановления обусловлена необходимостью уточнения перечня используемых субъектами малого или среднего предпринимательства нестационарных торговых объектов на территории Мошенского муниципального района. проект постановления основан на нормах федерального законодательства.</w:t>
            </w:r>
          </w:p>
          <w:p w:rsidR="00DF6914" w:rsidRDefault="00000657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1F149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="00867284">
              <w:rPr>
                <w:rFonts w:ascii="Times New Roman" w:hAnsi="Times New Roman" w:cs="Times New Roman"/>
                <w:sz w:val="28"/>
                <w:szCs w:val="28"/>
              </w:rPr>
              <w:t>; «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1F1490" w:rsidRPr="004A2504" w:rsidRDefault="001F1490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725F" w:rsidRPr="00D55144" w:rsidTr="00FF58BB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867284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 w:rsidR="0065332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</w:t>
      </w:r>
      <w:bookmarkStart w:id="0" w:name="_GoBack"/>
      <w:bookmarkEnd w:id="0"/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E4BF1"/>
    <w:rsid w:val="001F0F98"/>
    <w:rsid w:val="001F1490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67284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1494F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CAC04-C351-469A-A7C2-D2832AA5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137</cp:revision>
  <cp:lastPrinted>2021-05-12T05:30:00Z</cp:lastPrinted>
  <dcterms:created xsi:type="dcterms:W3CDTF">2015-03-31T07:10:00Z</dcterms:created>
  <dcterms:modified xsi:type="dcterms:W3CDTF">2021-05-12T05:30:00Z</dcterms:modified>
</cp:coreProperties>
</file>