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7F58D6" w:rsidTr="007F58D6">
        <w:trPr>
          <w:trHeight w:val="255"/>
        </w:trPr>
        <w:tc>
          <w:tcPr>
            <w:tcW w:w="2356" w:type="pct"/>
            <w:noWrap/>
            <w:vAlign w:val="bottom"/>
            <w:hideMark/>
          </w:tcPr>
          <w:p w:rsidR="007F58D6" w:rsidRDefault="007F58D6"/>
        </w:tc>
        <w:tc>
          <w:tcPr>
            <w:tcW w:w="2644" w:type="pct"/>
            <w:hideMark/>
          </w:tcPr>
          <w:p w:rsidR="007F58D6" w:rsidRDefault="007F58D6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8</w:t>
            </w:r>
          </w:p>
          <w:p w:rsidR="007F58D6" w:rsidRDefault="007F58D6">
            <w:pPr>
              <w:tabs>
                <w:tab w:val="center" w:pos="4153"/>
                <w:tab w:val="right" w:pos="8306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7F58D6" w:rsidRDefault="007F58D6"/>
    <w:p w:rsidR="007F58D6" w:rsidRDefault="007F58D6" w:rsidP="007F58D6"/>
    <w:p w:rsidR="007F58D6" w:rsidRDefault="007F58D6" w:rsidP="007F58D6">
      <w:pPr>
        <w:tabs>
          <w:tab w:val="left" w:pos="2475"/>
        </w:tabs>
        <w:jc w:val="center"/>
        <w:rPr>
          <w:b/>
        </w:rPr>
      </w:pPr>
      <w:r w:rsidRPr="007F58D6">
        <w:rPr>
          <w:b/>
          <w:sz w:val="28"/>
        </w:rPr>
        <w:t>Распределение бюджетных ассигнований по целевым статьям (муниципальным программам Мошенского муниципального округа и непрограммным направлениям деятельности), группам и подгруппам видов расходов классификации расходов бюджета Мошенского муниципального округа на 2025 год и на плановый период 2026 и 2027 годов</w:t>
      </w:r>
    </w:p>
    <w:p w:rsidR="007F58D6" w:rsidRPr="007F58D6" w:rsidRDefault="007F58D6" w:rsidP="007F58D6">
      <w:pPr>
        <w:tabs>
          <w:tab w:val="left" w:pos="1830"/>
        </w:tabs>
      </w:pPr>
    </w:p>
    <w:tbl>
      <w:tblPr>
        <w:tblW w:w="10681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1543"/>
        <w:gridCol w:w="837"/>
        <w:gridCol w:w="576"/>
        <w:gridCol w:w="1470"/>
        <w:gridCol w:w="1470"/>
        <w:gridCol w:w="1470"/>
      </w:tblGrid>
      <w:tr w:rsidR="007F58D6" w:rsidRPr="007F58D6" w:rsidTr="003B33D5">
        <w:trPr>
          <w:trHeight w:val="20"/>
        </w:trPr>
        <w:tc>
          <w:tcPr>
            <w:tcW w:w="106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7F58D6" w:rsidRPr="007F58D6" w:rsidTr="003B33D5">
        <w:trPr>
          <w:trHeight w:val="20"/>
        </w:trPr>
        <w:tc>
          <w:tcPr>
            <w:tcW w:w="33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F58D6">
              <w:rPr>
                <w:color w:val="000000"/>
                <w:sz w:val="24"/>
                <w:szCs w:val="24"/>
              </w:rPr>
              <w:t>РЗ,ПР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условий для развития торговли на 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округе"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условий для обеспечения жителей отдаленных и (или) труднодоступных населенных пунктов Мошенского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иных межбюджетных трансфертов из областного бюджета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ных торговых объектов, обеспечивающих доставку и реализацию товаров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1 323,00000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рационального и эффективного использования земельных участков,</w:t>
            </w:r>
            <w:r w:rsidR="004E4BBB">
              <w:rPr>
                <w:color w:val="000000"/>
                <w:sz w:val="24"/>
                <w:szCs w:val="24"/>
              </w:rPr>
              <w:t xml:space="preserve"> </w:t>
            </w:r>
            <w:r w:rsidRPr="007F58D6">
              <w:rPr>
                <w:color w:val="000000"/>
                <w:sz w:val="24"/>
                <w:szCs w:val="24"/>
              </w:rPr>
              <w:t xml:space="preserve">государственная собственность на которые не разграничена, в Мошенском муниципальном округе в пределах полномочий, установленных областным законом от 27.04.2015 № 763-ОЗ "О предоставлении земельных участков на территории Новгородской области" (далее земельные участки,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государственная собственность на которые не разграничена)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0300500000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Предупреждение причинения вреда окружающей среде и здоровья населения при размещении твердых коммунальных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Изготовление проектно-сметной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Противодействие возникновению мест несанкционированного размещения отходов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округа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осуществление мероприятий по созданию и (или) содержанию мест (площадок) накопления твердых коммунальных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образований Новгородской области на осуществление мероприятий по изготовлению и установке агитационных плакатов, направленных на профилактику нарушения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округов, городского округа Новгородской области на осуществление мероприятий по созданию и (или) содержанию мест (площадок) накопления твердых коммунальных отходов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округа Новгородской области</w:t>
            </w:r>
            <w:r w:rsidR="004E4BBB">
              <w:rPr>
                <w:color w:val="000000"/>
                <w:sz w:val="24"/>
                <w:szCs w:val="24"/>
              </w:rPr>
              <w:t xml:space="preserve"> </w:t>
            </w:r>
            <w:r w:rsidRPr="007F58D6">
              <w:rPr>
                <w:color w:val="000000"/>
                <w:sz w:val="24"/>
                <w:szCs w:val="24"/>
              </w:rPr>
              <w:t>"Энергосбережение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Сокращение объемов потребления электрической энергии муниципальными бюджетными и автономными учреждениями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Замена </w:t>
            </w:r>
            <w:proofErr w:type="gramStart"/>
            <w:r w:rsidRPr="007F58D6">
              <w:rPr>
                <w:color w:val="000000"/>
                <w:sz w:val="24"/>
                <w:szCs w:val="24"/>
              </w:rPr>
              <w:t>ламп накаливания на энергосберегающие</w:t>
            </w:r>
            <w:proofErr w:type="gramEnd"/>
            <w:r w:rsidRPr="007F58D6">
              <w:rPr>
                <w:color w:val="000000"/>
                <w:sz w:val="24"/>
                <w:szCs w:val="24"/>
              </w:rPr>
              <w:t xml:space="preserve"> и установка систем автоматического управления освещением в муниципальных бюджетных учреждениях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3 555,45100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2 557,20000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"Профилактика терроризма, экстремизма и технической защиты информационных систем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Улучшение организации и проведения профилактических мероприятий и мероприятий по информационно- пропагандистскому сопровождению антитеррористической деятельности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Установка камер видеонаблюдения в местах скопления людей, отдыха населения, молодежи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0630000000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веществами в Мошенском муниципальном округе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трудоустройства несовершеннолетних в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период летних каникул с целью их занятости и отвлечения от вредных привычек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"Использование и охрана земель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Оформление выморочных земельных участков в муниципальную собственность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125 765,47000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119 937,52000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119 692,42000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начального общего, основного общего и среднего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4E4BBB">
              <w:rPr>
                <w:color w:val="000000"/>
                <w:sz w:val="24"/>
                <w:szCs w:val="24"/>
              </w:rPr>
              <w:t xml:space="preserve"> </w:t>
            </w:r>
            <w:r w:rsidRPr="007F58D6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836,50000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836,50000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условий для функционирования новых мест в образовательных организациях для реализации дополнительных общеобразовательных программ всех направленностей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области</w:t>
            </w:r>
            <w:r w:rsidR="004E4BBB">
              <w:rPr>
                <w:color w:val="000000"/>
                <w:sz w:val="24"/>
                <w:szCs w:val="24"/>
              </w:rPr>
              <w:t xml:space="preserve"> </w:t>
            </w:r>
            <w:r w:rsidRPr="007F58D6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каникулярного образовательного отдыха, здорового образа жизни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Проведение мероприятий по организации деятельности летних оздоровительных лагерей с дневным пребыванием, профильных лагерей, лагерей труда и отдыха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561,80000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561,80000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Функционирование психолого- педагогического класса на базе муниципального автономного общеобразовательного учреждения "Средняя школа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с.Мошенское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Закрепление педагогических работников в педагогической профессии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Оказание мер муниципальной поддержки педагогическим работникам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Ежемесячная денежная выплата педагогическим работникам, принятым на работу на вакантные должности в общеобразовательные организации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2022-2027 годах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4E4BB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округа Новгородской области "Развитие обра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0950000000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120 366,07000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114 860,32000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114 615,22000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40 095,72000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36 005,32000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36 005,32000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9 250,10000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2 312,52000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Обеспечение условий для выполнения муниципальных полномочий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69 886,17000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69 184,18000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69 090,38000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47 896,50000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887,40000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 также погибших (умерших) граждан, сотрудников; граждан, сотрудников, ставших инвалидами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1 308,90000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5 315,60000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5 315,60000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5 315,60000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327,10000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сти на организацию бесплатной перевозки обучающихся общеобразовательных </w:t>
            </w:r>
            <w:proofErr w:type="gramStart"/>
            <w:r w:rsidRPr="007F58D6">
              <w:rPr>
                <w:color w:val="000000"/>
                <w:sz w:val="24"/>
                <w:szCs w:val="24"/>
              </w:rPr>
              <w:t>организаций(</w:t>
            </w:r>
            <w:proofErr w:type="gramEnd"/>
            <w:r w:rsidRPr="007F58D6">
              <w:rPr>
                <w:color w:val="000000"/>
                <w:sz w:val="24"/>
                <w:szCs w:val="24"/>
              </w:rPr>
              <w:t>сверх уровня, предусмотренного соглашением)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3 789,60000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Региональный проект "Педагоги и наставники (Новгородская область)"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6 594,58000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6 286,12000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6 134,82000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пальных общеобразовательных организациях (источником финансового обеспечения которой являются средства федерального и областного бюджетов)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48 826,64121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40 632,31400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40 633,57300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47 484,84121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39 450,61400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39 451,87300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1010100000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2 544,34121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348,61400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199,87300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10103L5196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субсиди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44 547,50000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38 767,00000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38 917,00000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4 807,20000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4 807,20000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4 807,20000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1 201,80000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1 201,80000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1 201,80000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округа"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1030100000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молодым семьям - участникам Программы "Обеспечение жильем молодых семей в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Мошен?ском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муниципальном округе Новгородской области" социальных выплат на приобретение жилого помещения или создание объекта индивидуального жилищного строительства, а также использования таких выплат, в соответствии с Правилами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предоставления молодым семьям социальных выплат на приобретение (строительство), жилья и их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ис?пользования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утвержденными постановлением Правительства Российской Федерации от 17 декабря 2010 года № 1050 (далее - Правила), создание условий для привлечения молодыми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1100100000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(сверх уровня, предусмотренного соглашением)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6 608,70000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"Обеспечение реализации муниципальной программы "Развитие физической культуры и спорта на территории Мошенского муниципального округа Новгородской области"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Физическая культура и 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 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самоуправления в Мошенском муниципальном округе Новгородской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области"муниципальной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подпрограммы "Содействие развитию местного самоуправления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Мошенского муниципального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округа"муниципальной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5 269,40000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4 733,00000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4 710,60000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4 859,00000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4 285,30000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4 247,30000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учета органами местного самоуправления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1510000000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«Капитальный ремонт муниципального жилищного фонда Мошенского муниципального округа Новгородской области»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899,62400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капитального ремонта муниципального жилищного фонда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области"Обеспечение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деятельно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21 281,70000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8 589,80000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3 148,45400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Мошенского муниципального округа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Строительство, реконструкция и капитальный ремонт объектов нецентрализованного водоснабжения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систем централизованного водоснабжения Мошенского муниципального округа путем строительства,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реконструкции и капитального ремонта объектов централизованного водоснабжения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1800200000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881,38577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881,38577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2 247,06823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2 247,06823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Дорожное хозяйство (дорожные фонды)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Вовлечение молодежи в социальную практику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(прочих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в области увековечения памяти погибших при защите Отечества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взаимодействия информационных систем органов местного самоуправления Мошенского округа с ре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гиональными и федеральными информационными системами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органами местного самоуправления и подведомственными им учреждениями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Поддержание в рабочем состоянии оргтехники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Ремонт и обслуживание оргтехники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округа и муниципальными организациями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Формирование единого пространства доверия электронной подписи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5 247,90000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4 653,90000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4 653,90000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5 232,90000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Выплата пенсии за выслугу лет муниципальным служащим и лицам, замещавшим должности муниципальной службы в органах местного самоуправления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Выплата муниципальной стипендии студентам, заключившим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бакалавриат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по направлению подготовки</w:t>
            </w:r>
            <w:r w:rsidR="001C0E41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F58D6">
              <w:rPr>
                <w:color w:val="000000"/>
                <w:sz w:val="24"/>
                <w:szCs w:val="24"/>
              </w:rPr>
              <w:t>"Государственное и муниципальное управление"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Стипендии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устройства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14 015,09932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2 343,96632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инициативных проектов на территории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"Народный бюджет"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бюджетирования "Народный бюджет"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"Практика поддержки местных инициатив"(ППМИ)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из областного бюджета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AF51B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из областного бюджета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1 206,00000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чистоты и порядка на территории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2400800000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1 987,50968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 территорий села Мошенское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 общественных территорий (в том числе изготовление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проектно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- сметной документации по благоустройству общественной территории)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Региональный проект "Формирование комфортной городской среды" (Новгородская область)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250И400000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законности, гуманности, соблюдения и защиты прав и свобод человека и гражданина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2600100000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первичных мер пожарной безопасности на территории Мошенского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>) в Мошенском муниципальном округе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Развитие добровольческой (волонтерской) деятельности в отношении отдельных категорий граждан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2800500000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Участие в региональном форуме "Серебряные сердца"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Проведение значимых региональных событий в сфере добровольчества (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2800700000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Ежегодная организация и проведение церемоний чествования добровольцев (волонтеров)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форм поддержки социально ориентированных некоммерческих организаций на территории Мошенского муниципального округа Новгородской области"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Оказание финансовой, имущественной и информационной поддержки социально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3100100000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СОНКО, реализующим социально значимые программы (проекты) по видам деятельности в соответствии с пунктом 1 </w:t>
            </w:r>
            <w:proofErr w:type="gramStart"/>
            <w:r w:rsidRPr="007F58D6">
              <w:rPr>
                <w:color w:val="000000"/>
                <w:sz w:val="24"/>
                <w:szCs w:val="24"/>
              </w:rPr>
              <w:t>ста-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тьи</w:t>
            </w:r>
            <w:proofErr w:type="spellEnd"/>
            <w:proofErr w:type="gramEnd"/>
            <w:r w:rsidRPr="007F58D6">
              <w:rPr>
                <w:color w:val="000000"/>
                <w:sz w:val="24"/>
                <w:szCs w:val="24"/>
              </w:rPr>
              <w:t xml:space="preserve"> 31.1 Федерального закона от 12.01.1996 № 7-ФЗ "О некоммерческих организациях"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43 192,73200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36 744,03000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36 817,23000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40 659,63200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34 210,93000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34 284,13000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1 381,42100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1 381,42100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94,57900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94,57900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12 458,19786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8 456,62085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2 554,52085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Резервные фонды местных администраций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по содержанию и обеспечению коммунальными услугами муниципального жилищного фонда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индивидуальным предпринимателям, при оказании населению услуг общественных бань, на территории муниципального округа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665,59100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Иные бюджетные ассигнования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7 005,09000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7 005,09000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7F58D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F58D6">
              <w:rPr>
                <w:color w:val="000000"/>
                <w:sz w:val="24"/>
                <w:szCs w:val="24"/>
              </w:rPr>
              <w:t xml:space="preserve"> расходов муниципальных казенных, бюджет</w:t>
            </w:r>
            <w:r w:rsidRPr="007F58D6">
              <w:rPr>
                <w:color w:val="000000"/>
                <w:sz w:val="24"/>
                <w:szCs w:val="24"/>
              </w:rPr>
              <w:lastRenderedPageBreak/>
              <w:t>ных и автономных учреждений по приобретению коммунальных услуг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lastRenderedPageBreak/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Контрольно-счетная комиссия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1 633,87800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lastRenderedPageBreak/>
              <w:t xml:space="preserve"> Аппарат Контрольно-счетной комиссии Мошенского муниципального округа Новгородской области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7F58D6" w:rsidRPr="007F58D6" w:rsidTr="00FD0D82">
        <w:trPr>
          <w:trHeight w:val="20"/>
        </w:trPr>
        <w:tc>
          <w:tcPr>
            <w:tcW w:w="3315" w:type="dxa"/>
            <w:shd w:val="clear" w:color="auto" w:fill="auto"/>
            <w:hideMark/>
          </w:tcPr>
          <w:p w:rsidR="007F58D6" w:rsidRPr="007F58D6" w:rsidRDefault="007F58D6" w:rsidP="00FD0D82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7F58D6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4 765 400,00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9 959 100,00</w:t>
            </w:r>
          </w:p>
        </w:tc>
      </w:tr>
      <w:tr w:rsidR="007F58D6" w:rsidRPr="007F58D6" w:rsidTr="00FD0D82">
        <w:trPr>
          <w:trHeight w:val="20"/>
        </w:trPr>
        <w:tc>
          <w:tcPr>
            <w:tcW w:w="6271" w:type="dxa"/>
            <w:gridSpan w:val="4"/>
            <w:shd w:val="clear" w:color="auto" w:fill="auto"/>
            <w:hideMark/>
          </w:tcPr>
          <w:p w:rsidR="007F58D6" w:rsidRPr="007F58D6" w:rsidRDefault="007F58D6" w:rsidP="007F58D6">
            <w:pPr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Всего расходов: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357 202,47885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7F58D6" w:rsidRPr="007F58D6" w:rsidRDefault="007F58D6" w:rsidP="007F58D6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7F58D6">
              <w:rPr>
                <w:color w:val="000000"/>
                <w:spacing w:val="-20"/>
                <w:sz w:val="24"/>
                <w:szCs w:val="24"/>
              </w:rPr>
              <w:t>303 536,39185</w:t>
            </w:r>
          </w:p>
        </w:tc>
      </w:tr>
    </w:tbl>
    <w:p w:rsidR="0045716C" w:rsidRPr="007F58D6" w:rsidRDefault="0045716C" w:rsidP="007F58D6">
      <w:pPr>
        <w:tabs>
          <w:tab w:val="left" w:pos="1830"/>
        </w:tabs>
      </w:pPr>
    </w:p>
    <w:sectPr w:rsidR="0045716C" w:rsidRPr="007F5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D6"/>
    <w:rsid w:val="0018460F"/>
    <w:rsid w:val="001C0E41"/>
    <w:rsid w:val="00201AB5"/>
    <w:rsid w:val="003B33D5"/>
    <w:rsid w:val="0045716C"/>
    <w:rsid w:val="004E4BBB"/>
    <w:rsid w:val="007F58D6"/>
    <w:rsid w:val="00AF51BD"/>
    <w:rsid w:val="00B24DCA"/>
    <w:rsid w:val="00FD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0E8F8-1F6E-4258-A9B8-F6A7AD42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8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58D6"/>
    <w:rPr>
      <w:color w:val="800080"/>
      <w:u w:val="single"/>
    </w:rPr>
  </w:style>
  <w:style w:type="paragraph" w:customStyle="1" w:styleId="xl92">
    <w:name w:val="xl92"/>
    <w:basedOn w:val="a"/>
    <w:rsid w:val="007F5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7F5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7F58D6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7F5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7F5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7F58D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7F5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7F58D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7F5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7F5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7F58D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7F58D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7F58D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79</Pages>
  <Words>21259</Words>
  <Characters>121182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9</cp:revision>
  <dcterms:created xsi:type="dcterms:W3CDTF">2025-04-17T11:31:00Z</dcterms:created>
  <dcterms:modified xsi:type="dcterms:W3CDTF">2025-04-17T11:40:00Z</dcterms:modified>
</cp:coreProperties>
</file>