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0F144A" w:rsidTr="000F144A">
        <w:trPr>
          <w:trHeight w:val="255"/>
        </w:trPr>
        <w:tc>
          <w:tcPr>
            <w:tcW w:w="2356" w:type="pct"/>
            <w:noWrap/>
            <w:vAlign w:val="bottom"/>
            <w:hideMark/>
          </w:tcPr>
          <w:p w:rsidR="000F144A" w:rsidRDefault="000F144A"/>
        </w:tc>
        <w:tc>
          <w:tcPr>
            <w:tcW w:w="2644" w:type="pct"/>
            <w:hideMark/>
          </w:tcPr>
          <w:p w:rsidR="000F144A" w:rsidRDefault="000F144A" w:rsidP="000F144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sz w:val="28"/>
                <w:szCs w:val="28"/>
                <w:lang w:eastAsia="en-US"/>
              </w:rPr>
              <w:t>6</w:t>
            </w:r>
          </w:p>
          <w:p w:rsidR="000F144A" w:rsidRDefault="000F144A" w:rsidP="000F144A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pacing w:val="-8"/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0F144A" w:rsidRDefault="000F144A" w:rsidP="000F144A">
      <w:pPr>
        <w:jc w:val="center"/>
        <w:rPr>
          <w:b/>
          <w:sz w:val="24"/>
        </w:rPr>
      </w:pPr>
    </w:p>
    <w:p w:rsidR="000F144A" w:rsidRDefault="000F144A" w:rsidP="000F144A">
      <w:pPr>
        <w:jc w:val="center"/>
        <w:rPr>
          <w:b/>
          <w:sz w:val="28"/>
        </w:rPr>
      </w:pPr>
      <w:r w:rsidRPr="000F144A">
        <w:rPr>
          <w:b/>
          <w:sz w:val="28"/>
        </w:rPr>
        <w:t>Ведомственная структура расходов бюджета Мошенского муниципального округа Новгородской области на 2025 год и на плановый период 2026 и 2027 годов</w:t>
      </w:r>
    </w:p>
    <w:tbl>
      <w:tblPr>
        <w:tblW w:w="11007" w:type="dxa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605"/>
        <w:gridCol w:w="837"/>
        <w:gridCol w:w="1378"/>
        <w:gridCol w:w="576"/>
        <w:gridCol w:w="1470"/>
        <w:gridCol w:w="1470"/>
        <w:gridCol w:w="1470"/>
      </w:tblGrid>
      <w:tr w:rsidR="000F144A" w:rsidRPr="000F144A" w:rsidTr="00721524">
        <w:trPr>
          <w:trHeight w:val="20"/>
        </w:trPr>
        <w:tc>
          <w:tcPr>
            <w:tcW w:w="11007" w:type="dxa"/>
            <w:gridSpan w:val="8"/>
            <w:shd w:val="clear" w:color="auto" w:fill="auto"/>
            <w:noWrap/>
            <w:vAlign w:val="bottom"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sz w:val="28"/>
              </w:rPr>
              <w:tab/>
            </w:r>
            <w:r w:rsidRPr="000F144A"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0F144A">
              <w:rPr>
                <w:color w:val="000000"/>
                <w:sz w:val="24"/>
                <w:szCs w:val="24"/>
              </w:rPr>
              <w:t>РЗ,ПР</w:t>
            </w:r>
            <w:proofErr w:type="gramEnd"/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Комитет образования и культуры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166 621,62121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152 937,13400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152 693,29300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законопослушного поведения участников дорожного движения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Предупреждение опасного поведения на дорогах детей дошкольного и школьного возраста, участников дорожного движения. Снижение количества дорожно-транспортных происшествий с участием пешеходов.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и проведение конкурсов, соревнований, викторин, направленных на обучение детей и подростков навыкам безопасного поведения на улицах и дорогах, в том числе приобретение материальных, технических средств, необходимых для их проведения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190019Д890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109 225,98000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103 332,92000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103 087,82000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32 075,10600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29 879,75000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19 774,55600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17 579,20000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дошкольных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15 750,05600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13 554,70000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3 219,60000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12 300,55000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11 725,35000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66 979,77400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66 979,77400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64 329,87000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64 084,77000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"Развитие дошкольного и общего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муниципальных организаций, осуществляющих образовательную деятельность по образовательным программам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0910170570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области"Развитие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образования в Мошенском муниципальном округе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 "Развитие образования в Мошенском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0920123130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Поддержка одаренных детей, молодежи, талантливых педагогов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подпрограммы "Развитие дополнительного образования в Мошенском муниципальном округе"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0920223130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работы с обучающимися общеобразовательных организаций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Функционирование психолого- педагогического класса на базе муниципального автономного общеобразовательного учреждения "Средняя школа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с.Мошенское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0940123150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65 891,27400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63 457,57000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63 212,47000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17 922,56400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16 027,52000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образовательных организаций- интернатов, реализующих основные общеобразовательные программы, программы основного общего образования,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10 634,44400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8 739,40000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1 457,62000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41 374,13000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41 143,93000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41 050,13000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0960223180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организацию обучения по основным общеобразовательным программам на дому, возмещение расходов за пользование услугой доступа к информа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36 171,15000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848,20000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09602L3041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2 317,60000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2 116,40000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2 022,60000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приобретение или изготовление бланков документов об образовании и (или) о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0,78000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Региональный проект "Педагоги и наставники (Новгородская область)"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6 594,58000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6 286,12000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6 134,82000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на финансовое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096Ю650501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78,12000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(источником финансового обеспечения которой являются средства федерального и областного бюджетов)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096Ю651791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096Ю653031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5 780,90000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8 671,70000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7 789,90000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3 065,10000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"Развитие дополнительного образования в Мошенском муниципальном округе" муниципальной программы Мошенского муниципального округа Новгородской области</w:t>
            </w:r>
            <w:r w:rsidR="00385C23">
              <w:rPr>
                <w:color w:val="000000"/>
                <w:sz w:val="24"/>
                <w:szCs w:val="24"/>
              </w:rPr>
              <w:t xml:space="preserve"> </w:t>
            </w:r>
            <w:r w:rsidRPr="000F144A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666,50000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персонифицированного финансирования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реализацию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0920422210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условий для функционирования новых мест в образовательных организациях для реализации дополнительных общеобразовательных программ всех направленностей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ципальных районов, муниципальных округов и городского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0920572020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заданий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2 398,60000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2 148,60000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5 606,60000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4 724,80000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организаций дополнительного образования детей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4 876,60000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3 994,80000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Молодежная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"Комплексные меры противодействия наркомании и зависимости от других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веществ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Снижение актуальности проблем, связанных со злоупотреблением наркотиками и другими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веществами в Мошенском муниципальном округе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0630123100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Вовлечение молодежи в социальную практику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(прочих мероприятий) муниципальной программы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2000123300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Патриотическое воспитание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(комплекса мероприятий) муниципальной программы "Реализация молодежной по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2000223300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добровольчества (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>)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добровольческой (волонтерской) деятельности в отношении отдельных категорий граждан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Участие в региональном форуме "Серебряные сердца"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2800523510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Проведение значимых региональных событий в сфере добровольчества (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Ежегодная организация и проведение церемоний чествования добровольцев (волонтеров)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2800723520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1 068,40000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Подпрограмма "Организация каникулярного образовательного отдыха, здорового образа жизни" муниципальной программы Мошенского муниципального округа Новгородской области</w:t>
            </w:r>
            <w:r w:rsidR="00385C23">
              <w:rPr>
                <w:color w:val="000000"/>
                <w:sz w:val="24"/>
                <w:szCs w:val="24"/>
              </w:rPr>
              <w:t xml:space="preserve"> </w:t>
            </w:r>
            <w:r w:rsidRPr="000F144A">
              <w:rPr>
                <w:color w:val="000000"/>
                <w:sz w:val="24"/>
                <w:szCs w:val="24"/>
              </w:rPr>
              <w:t>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каникулярного образовательного отдыха, здорового образа жизни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Проведение мероприятий по организации деятельности летних оздоровительных лагерей с дневным пребыванием, профильных лагерей, лагерей труда и отдыха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0930123140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598,70000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Закрепление педагогических работников в педагогической профессии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0940223160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межбюджетные трансферты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0940275320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41 948,24121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34 795,81400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34 797,07300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41 928,24121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41 928,24121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34 775,81400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34 777,07300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"Культура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41 878,24121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34 725,81400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34 727,07300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1010123190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художественного образования в сфере культуры, сохранение кадрового потенциала сферы культура, повышение престижности и привлекательности профессии работника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1010223190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Укрепление единого культурного и информационного пространства на территории Мошенского муниципального округа. Укрепление и модернизация материально-технической базы учреждений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2 544,34121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348,61400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199,87300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«Культура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1010323190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992,05081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175,64430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176,47906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1010377050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биб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лиотек муниципальных образований и государственных общедоступных библиотек)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21,04040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22,96970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23,39394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округа, поселений области на поддержку отрасли культуры (государственная поддержка лучших сельских учреждений культуры)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10103L5196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</w:t>
            </w:r>
            <w:r w:rsidR="00385C23">
              <w:rPr>
                <w:color w:val="000000"/>
                <w:sz w:val="24"/>
                <w:szCs w:val="24"/>
              </w:rPr>
              <w:t>и</w:t>
            </w:r>
            <w:bookmarkStart w:id="0" w:name="_GoBack"/>
            <w:bookmarkEnd w:id="0"/>
            <w:r w:rsidRPr="000F144A">
              <w:rPr>
                <w:color w:val="000000"/>
                <w:sz w:val="24"/>
                <w:szCs w:val="24"/>
              </w:rPr>
              <w:t xml:space="preserve"> бюджетам муниципальных районов, муниципальных округов, городского округа Новгородской области на реализацию практики инициативного бюджетирования "Наш выбор"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10103S7050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Оказание муниципальных услуг (выполнение работ) в области культуры, искусства, образования в сфере культуры и обеспечение деятельности муниципальных учреждений культуры, искусства, образования в сфере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38 940,90000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34 042,20000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34 192,20000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учреждений культуры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23 259,50000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19 892,10000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20 042,10000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1010501420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10 402,40000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8 871,10000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4 223,20000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10105S2300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"Развитие туризма и туристической деятельности на территории Мошенского муниципального округа" муниципальной программы Мошенского муниципального округа Новгородской области "Развитие культуры и туризма в Мошенском муниципальном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Содействие формированию конкурентоспособного туристского продукта, развитию проектов в сфере туризма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туризма и туристической деятельности на территории Мошенского муниципального округа"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1020223200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10 588,70000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10 467,80000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10 467,80000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"Привлечение квалифицированных кадров в сферу образования Мошенского муниципального округа"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Оказание мер муниципальной поддержки педагогическим работникам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Ежемесячная денежная выплата педагогическим работникам, принятым на работу на вакантные должности в общеобразовательные организации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0940423170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района, муниципального округа Новгородской области в 2022-2027 годах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0940472650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153,80000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ников, находящихся в служебной командировке, а также погибших (умерших) граждан, сотрудников; граждан, сотрудников, ставших инвалидами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0960271640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обеспечение расходных обязательств, связанных с реализацией указа Губернатора Новгородской области от 11.10.2022 № 584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автономным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0960272670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10 200,80000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Компенсация родительской платы родителям (законным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238,40000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9 916,60000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5 319,80000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0960270130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4 596,80000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4 758,70000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4 240,60000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Развитие физической культуры и массового спорта на территории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1210123210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подпрограммы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1210223530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"Обеспечение реализации муниципальной программы "Развитие физической культуры и спорта на территории Мошенского муниципального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округа Новгородской области" муниципальной программы "Развитие физической культуры и массового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Развитие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4 140,60000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учреждений в сфере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1220101710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3 057,40000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2 601,30000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1 231,40000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12201S2300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комитет финансов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296,70000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266,70000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исполнения долговых обязательств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Обслуживание муниципального долга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1400121130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Администрация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176 526,13164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130 973,93885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134 355,43885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83 308,78000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70 703,56800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70 717,46800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Глава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2 533,10000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39 015,62200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32 615,22000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32 675,22000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36 547,22200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30 146,82000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30 206,82000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35 727,22200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29 762,82000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2 133,40000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2 079,70000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53,70000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Судебная система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6 162,37800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5 554,67800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5 554,67800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Координация и обеспечение исполнения бюджетного процесса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деятельности комитета финансов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4 528,50000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3 964,60000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Контрольно-счетная комиссия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1 633,87800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1 590,07800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Председатель Контрольно-счетной комиссии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1 143,34700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1 099,54700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914,34700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9410001000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Аппарат Контрольно-счетной комиссии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490,53100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35 592,28000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29 936,27000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29 949,47000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условий для выполнения муниципальных полномочий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5 816,59000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5 465,70000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0960272380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5 083,10000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 Новгородской области на организацию бесплатной перевозки обучающихся общеобразовательных </w:t>
            </w:r>
            <w:proofErr w:type="gramStart"/>
            <w:r w:rsidRPr="000F144A">
              <w:rPr>
                <w:color w:val="000000"/>
                <w:sz w:val="24"/>
                <w:szCs w:val="24"/>
              </w:rPr>
              <w:t>организаций(</w:t>
            </w:r>
            <w:proofErr w:type="gramEnd"/>
            <w:r w:rsidRPr="000F144A">
              <w:rPr>
                <w:color w:val="000000"/>
                <w:sz w:val="24"/>
                <w:szCs w:val="24"/>
              </w:rPr>
              <w:t>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09602S2381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350,89000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 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339,00000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"Содействие развитию местного самоуправления в Мошенском муниципальном округе Новгородской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области"муниципальной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Содействие развитию местного самоуправления в Мошенском муниципальном округе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подпрограммы "Содействие развитию мест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ного самоуправления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1310123220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хранения архивного фонда Мошенского муниципального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округа"муниципальной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программы Мошенского муниципального округа Новгородской области "Реформирование и развитие системы муниципального управления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условий, отвечающих нормативным требованиям хранения архивных документов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подпрограммы "Обеспечение хранения архивного фонда Мошенского муниципального округа"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1320123230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области"Обеспечение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деятельности муниципальных учреждений и органов мест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ного самоуправления Мошенского муниципального округа Новгородской области в сфере бухгалтерского и иного (хозяйственно-технического) обслуживания"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21 281,70000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17 894,80000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8 589,80000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7 529,60000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качественной организации и ведения бухгалтерского и налогового учета и отчетности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8 545,90000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7 485,70000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8 355,90000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7 330,70000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оказанию мер социальной поддержки обучающимся (обучавшимся до дня выпуска) муниципальных образовательных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1700170060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Программное обеспечение бухгалтерского учета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1700201510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качественного хозяйственно-технического обслуживания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12 461,90000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10 165,20000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служебных помещений и прилегающих территорий в надлежащем порядке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9 714,90000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7 418,20000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9 430,90000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7 204,20000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1700401520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2 197,60000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17004S2300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549,40000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электронного муниципалитета и информационного общества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Создание и модернизация информационных систем органов местного самоуправления Мошенского округа и их взаимодействие с информационными системами федеральных и региональных органов власти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развития электронного документооборота в органах местного самоуправления Мошенского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взаимодействия информационных систем органов местного самоуправления Мошенского округа с региональными и федеральными информационными системами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2100123320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условий для предоставления государственных и муниципальных услуг гражданам и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Модернизация муниципальных информационных систем и автоматизированных рабочих мест, обеспечивающих межведомственное электронное взаимодействие при предоставлении государственных и муниципальных услуг в электронном виде ор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ганами местного самоуправления и подведомственными им учреждениями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приобретения и внедрения лицензионного программного обеспечения для автоматизированных рабочих мест в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2100223340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в рабочем состоянии оргтехники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Ремонт и обслуживание оргтехники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2100323350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нием, органами местного самоуправления округа и муниципальными организациями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Организация приобретения, внедрения и сопровождения специального лицензионного программного обеспечения и информационных систем для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2100423360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Формирование единого пространства доверия электронной подписи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электронными подписями, работников органов местного самоуправления, имеющих право подписи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2100523370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форм поддержки социально ориентированных некоммерческих организаций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Оказание финансовой, имущественной и информационной поддержки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СОНКО, реализующим социально значимые программы (проекты) по видам деятельности в соответствии с пунктом 1 </w:t>
            </w:r>
            <w:proofErr w:type="gramStart"/>
            <w:r w:rsidRPr="000F144A">
              <w:rPr>
                <w:color w:val="000000"/>
                <w:sz w:val="24"/>
                <w:szCs w:val="24"/>
              </w:rPr>
              <w:t>ста-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тьи</w:t>
            </w:r>
            <w:proofErr w:type="spellEnd"/>
            <w:proofErr w:type="gramEnd"/>
            <w:r w:rsidRPr="000F144A">
              <w:rPr>
                <w:color w:val="000000"/>
                <w:sz w:val="24"/>
                <w:szCs w:val="24"/>
              </w:rPr>
              <w:t xml:space="preserve"> 31.1 Федерального закона от 12.01.1996 № 7-ФЗ "О некоммерческих организациях"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3100123240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630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484,20000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497,40000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495,40000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9120059300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9120070650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учреждений,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муниципальных учреждений по обеспечению транспортного обслуживания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7 005,09000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5 382,57000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учреждений по обеспечению транспортного обслуживания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9310001610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6 827,22000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5 204,70000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бюджетным учреждениям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93100S2300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35,57000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383,95000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436,85000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357,50000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26,45000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4 483,35100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3 235,10000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3 155,10000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3 524,00000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2 462,80000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2 382,80000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и совершенствование деятельности единой дежурно-диспетчерской службы Администрации муниципального округа"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3 178,40000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2 367,20000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Материальное, техническое обеспечение и совершенствование деятельности единой диспетчерской службы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2 908,40000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казенных учреждений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2 149,20000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0640101120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резерва материальных ресурсов для ликвидации чрезвычайных ситуаций Администрации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0640123110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первичных мер пожарной безопасности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2700223630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959,35100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Подпрограмма "Профилактика терроризма, экстремизма и технической защиты информационных систем в Мошенском муниципальном округе" муниципальной программы Мошенского муниципального округа Новгородской области "Защита населения и территорий от чрезвычайных ситуаций, обеспечение общественного порядка и безопасности проживания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Улучшение организации и проведения профилактических мероприятий и мероприятий по информационно- пропагандистскому сопровождению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Установка камер видеонаблюдения в местах скопления людей, отдыха населения, молодежи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0620223600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187,05100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Предупреждение нарушений общественного порядка, профилактика правонарушений в общественных местах, защита личности, общества и государства от противоправных посягательств, на основе принципов добровольности, законности, гуманности, соблюдения и защиты прав и свобод человека и гражданина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программы "Развитие добровольных народных формирований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2600123480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772,30000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58 206,55078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40 576,02085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44 061,82085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9200070720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22,10000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Транспорт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10 996,50000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8 020,62085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2 177,82085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44 494,10000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31 895,30000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41 223,90000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24 692,00743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24 692,00743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24 692,00743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26 640,22453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37 625,20000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формирование муниципальных дорожных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5 093,00000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3 395,00000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и городского округа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12 450,00000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на формирование муниципальных дорожных фондов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2 104,65899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1 860,07547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203,70000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15101SД860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154,43358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2 693,85078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638,00000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"Развитие торговли в Мошенском муниципальном округе" муниципальной программы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Создание условий для развития торговли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мероприятий подпрограммы "Развитие торговли в Мошенском муниципальном округе"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0120223010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округа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1 325,85078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0120472660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1 193,26570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иных межбюджетных трансфертов из областного бюджета бюд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жетам муниципальных районов, муниципальных округов Новгородской области на создание условий для обеспечения жителей отдаленных и (или) труднодоступных населенных пунктов Новгородской области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01204S2660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132,58508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малого и среднего предпринимательства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благоприятных условий для развития малого и среднего предпринимательства в экономике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Поддержка субъектов малого и среднего предпринимательства из местного бюджета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0200120640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ние системы управления муниципальным имуществом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1 323,00000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573,00000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эффективного использования муниципального имущества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0300123020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0300223030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рационального и эффективного использования земельных </w:t>
            </w:r>
            <w:proofErr w:type="spellStart"/>
            <w:proofErr w:type="gramStart"/>
            <w:r w:rsidRPr="000F144A">
              <w:rPr>
                <w:color w:val="000000"/>
                <w:sz w:val="24"/>
                <w:szCs w:val="24"/>
              </w:rPr>
              <w:t>участков,государственная</w:t>
            </w:r>
            <w:proofErr w:type="spellEnd"/>
            <w:proofErr w:type="gramEnd"/>
            <w:r w:rsidRPr="000F144A">
              <w:rPr>
                <w:color w:val="000000"/>
                <w:sz w:val="24"/>
                <w:szCs w:val="24"/>
              </w:rPr>
              <w:t xml:space="preserve"> собственность на которые не разграничена, в Мошенском муниципальном округе в пределах полномочий, установленных областным законом от 27.04.2015 № 763-ОЗ "О предоставлении земельных участков на территории Новгородской области" (далее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0300523050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проведения работ в отношении границ территориальных зон и населенных пунктов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проведения работ в отношении границ территориальных зон и населенных пунктов Мошенского муниципального округа с целью внесения сведений в Единый государственный реестр недвижимости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0300723060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"Использование и охрана земель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организации рационального использования и охраны земель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Оформление выморочных земельных участков в муниципальную собственность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0412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0700123120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13 645,71886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3 781,80000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3 798,00000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1 334,22186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«Капитальный ремонт муниципального жилищного фонда Мошенского муниципального округа Новгородской области»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899,62400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421,20000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Капитальный ремонт муниципальных жилых помещений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капитального ремонта муниципального жилищного фонда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1600123250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181,50000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Участие в региональной программе по капитальному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ремонту общего имущества в многоквартирных домах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Перечисление платежей оператору фонда капитального ремонта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1600223260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218,12400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223,50000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434,59786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по содержанию и обеспечению коммунальными услугами муниципального жилищного фонда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9200023610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19,00686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415,59100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3 639,05400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460,60000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области"Энергосбережение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Сокращение объемов потребления электрической энергии муниципальными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бюджетными и автономными учреждениями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Замена </w:t>
            </w:r>
            <w:proofErr w:type="gramStart"/>
            <w:r w:rsidRPr="000F144A">
              <w:rPr>
                <w:color w:val="000000"/>
                <w:sz w:val="24"/>
                <w:szCs w:val="24"/>
              </w:rPr>
              <w:t>ламп накаливания на энергосберегающие</w:t>
            </w:r>
            <w:proofErr w:type="gramEnd"/>
            <w:r w:rsidRPr="000F144A">
              <w:rPr>
                <w:color w:val="000000"/>
                <w:sz w:val="24"/>
                <w:szCs w:val="24"/>
              </w:rPr>
              <w:t xml:space="preserve"> и установка систем автоматического управления освещением в муниципальных бюджетных учреждениях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0500123080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инфраструктуры водоснабжения и водоотведения населенных пунктов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3 148,45400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систем нецентрализованного водоснабжения Мошенского муниципального округа путем строительства, реконструкции и капитального ремонта объектов нецентрализованного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Строительство, реконструкция и капитальный ремонт объектов нецентрализованного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1800123270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систем централизованного водоснабжения Мошенского муниципального округа путем строительства, реконструкции 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капитального ремонта объектов централизованного водоснабжения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Содержание и ремонт объектов централизованного водоснабжения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3 128,45400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881,38577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1800223280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2 247,06823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487,60000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Возмещение недополученных доходов организациям, индивидуальным предпринимателям, при оказании населению услуг общественных бань,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237,60000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Внесение вклада в обеспечение деятельности межмуниципальных организаций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0502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9200081610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8 672,44300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2 916,20000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2 916,20000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области "Реализация молодежной политики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Патриотическое воспитание населения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2000270660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6 560,93332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2 854,20000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2 854,20000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1 400,00000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1 317,93332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582,20000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1 317,93332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1 317,93332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1 317,93332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лицами специального налогового режима "Налог на профессиональный доход"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2400476300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"Народный бюджет"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24004S6300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чистоты и порядка на территории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"Формирование современной городской среды на территории села Мошенское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1 987,50968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 территорий села Мошенское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 общественных территорий (в том числе изготовление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проектно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- сметной документации по благоустройству общественной территории)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2500123620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37,06668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Региональный проект "Формирование комфортной городской среды" (Новгородская область)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250И400000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образований Новгородской области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250И455550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1 950,44300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охраны окружающей среды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Предупреждение причинения вреда окружающей среде и здоровья населения при размещении твердых коммунальных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Изготовление проектно-сметной документации по рекультивации земельного участка, загрязненного в результате расположения на нём объекта размещения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0400123560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деятельности по захоронению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0400179991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Противодействие возникновению мест несанкционированного размещения отходов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571,78100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Реализация прочих мероприятий программы Мошенского муниципального округа "Охрана окружающей среды и экологическая безопасность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0400223070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321,42000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334,00000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167,01800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межбюджетные трансферты бюджетам муниципальных образований Новгородской области на осуществление мероприятий по изготовлению и установке агитационных плакатов, направленных на профилактику нарушения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0400271800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11,76300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иных межбюджетных трансфертов бюджетам муниципальных районов, муниципальных округов, городского округа Новгородской области на осуществление мероприятий по созданию и (или) содержанию мест (площадок) накопления твердых коммунальных отходов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0605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04002S1790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71,58000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3 626,90000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3 626,90000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3 198,00000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и прочие мероприятия в сфере образования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прочих мероприятий и управления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3 527,90000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3 183,00000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2 736,20000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2 391,30000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0960370280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791,70000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уровня профессиональной подготовки муниципальных служащих, служащих и лиц, замещающих муниципальные должности в органах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обучения муниципальных служащих, служащих и лиц, замещающих муниципальные должности по программам профессиональной переподготовки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2300123380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Выплата муниципальной стипендии студентам, заключившим договор с Администрацией Мошенского муниципального округа Новгородской области о целевом обучении по программе высшего образования -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бакалавриат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по направлению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подготовки"Государственное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и муниципальное управление"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Стипендии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0709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2300323580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84,00000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"Обеспечение реализации муниципальной программы Мошенского муниципального округа "Развитие культуры и туризма в Мошенском муниципальном округе" муниципальной программы Мошенского муниципального округа Новгородской области "Развитие культуры и ту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реализации муниципальной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0804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1030101000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1 271,80000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1 111,70000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Социальная политика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8 477,30000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7 542,50000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7 542,50000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системы муниципальной службы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Формирование высококачественного кадрового состава муниципальной службы органов местного самоуправления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Выплата пенсии за выслугу лет муниципальным служащим и лицам, замещавшим должности муниципальной службы в органах местного самоуправления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2300323390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5 148,90000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4 638,90000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3 328,40000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2 903,60000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2 903,60000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"Социальная адаптация детей-сирот и детей, оставшихся без попечения родителей, а также лиц из числа детей-сирот и детей, оставшихся без </w:t>
            </w:r>
            <w:proofErr w:type="spellStart"/>
            <w:proofErr w:type="gramStart"/>
            <w:r w:rsidRPr="000F144A">
              <w:rPr>
                <w:color w:val="000000"/>
                <w:sz w:val="24"/>
                <w:szCs w:val="24"/>
              </w:rPr>
              <w:t>попече?ния</w:t>
            </w:r>
            <w:proofErr w:type="spellEnd"/>
            <w:proofErr w:type="gramEnd"/>
            <w:r w:rsidRPr="000F144A">
              <w:rPr>
                <w:color w:val="000000"/>
                <w:sz w:val="24"/>
                <w:szCs w:val="24"/>
              </w:rPr>
              <w:t xml:space="preserve"> родителей" муниципальной программы Мошенского муниципального округа Новгородской области "Развитие образования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2 477,90000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0950270600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Бюджетные инвестиции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09502A0821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410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2 385,90000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жильем молодых семей в Мошенском муниципальном округе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Предоставление молодым семьям - участникам Программы "Обеспечение жильем молодых семей в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Мошен?ском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муниципальном округе Новгородской области" социальных выплат на приобретение жилого помещения или создание объекта индивидуального жилищного строительства, а также использования таких выплат, в соответствии с Правилами предоставления молодым семьям социальных выплат на приобретение (строительство), жилья и их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ис?пользования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утвержденными постановлением Правительства Российской Федерации от 17 декабря 2010 года № 1050 (далее - Правила), создание условий для привлечения молодыми семьями собственных средств, дополнительных финансовых средств кредитных и других организаций для приобретения жилья или строительства индивидуального жилья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округов, городского округа Новгородской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 (сверх уровня, предусмотренного соглашением)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11001А4970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425,70000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903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Бродский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1 240,59000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1 010,59000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1 010,59000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256,40000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239,40000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87,20000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21,80000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5,29000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955,00000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742,00000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261,00000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904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175,00000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Калининский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2 358,93000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1 897,33000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1 897,33000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255,43000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250,43000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94,82100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94,82100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89,90000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0,07900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124,90000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31,23000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46,90000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43,90000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2 056,60000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1 600,00000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Очистка территории от мусора. Ликвидация несанкционированных свалок. Уста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905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870,60000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Кировский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4 038,64300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1 973,31000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1 973,31000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294,83000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269,03000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269,03000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288,83000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263,03000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224,80000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224,30000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199,00000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850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47,70000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11,93000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Прочие расходы,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Расходные обязательства, связанные с осуществлением полномочий старост на территории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0113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9200020100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Муниципальная программа Мошенского муниципального округа Новгородской 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55,30000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2 374,93300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2 374,93300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2 374,93300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1 635,40000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161,90000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586,03300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инициативных проектов на территории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8,83300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145,00000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инициативных проектов, включенных в муниципальные программы муниципальных образований Новгородской области, обеспечивших создание благоприятных условий для применения физическими ли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цами специального налогового режима "Налог на профессиональный доход"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2400371780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432,20000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отходами производства и потребления; обеспечение организации рационального использования и охраны зе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227,00000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Выполнение комплексных мероприятий по ликвидации очагов распространения борщевика "Сосновского"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Уничтожение борщевика "Сосновского" химическим методом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2400923470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527,00000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458,00000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""Развитие физической культуры и массового спорта на территории Мошенского муниципального округа Новгородской области" муниципальной программы Мошенского муниципального округа Новгородской области "Развитие физической культуры и спорта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Развитие инфраструктуры отрасли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муниципальных округов, городских и сельских поселений Новгородской области на реализацию практики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906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12102S5260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Ореховский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территориальный отдел Администрации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5 586,06300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1 264,63000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1 264,63000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 муниципального округа, не отнесенные к муниципальным программам Мошенского муниципального округа Новгородской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372,45000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358,65000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Расходы на обеспечение функций муниципальных органов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9120001000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193,30000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179,50000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Содержание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9120070280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9120072300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139,80000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районов, муниципальных округов области на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0104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91200S2300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34,95000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области "Управление муниципальными финансами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Обеспечение выполнения отдельных государственных полномочий по осуществлению первичного воинского учета органами местного самоуправления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0203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1400251180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10,58000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"Обеспечение первичных мер пожарной безопасности на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Укрепление противопожарного состояния территории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Приобретение противопожарного инвентаря, оснащение территорий общего пользования первичными средствами тушения пожаров и противопожарным инвентарём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2700223490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Поддержание и приведение источников наружного противопожарного водоснабжения в надлежащее состояние для использования их в любое время года в целях пожаротушения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0310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2700223500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32,40000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Подпрограмма "Капитальный ремонт, ремонт и содержание автомобильных дорог общего пользования местного значения Мошенского муниципального округа " муниципальной программы Мошенского муниципального округа Новгородской области "Совершенствование и содержание дорожного хозяйства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3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Капитальный ремонт, ремонт и содержание автомобильных дорог общего пользования местного значения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Мошенского муниципального округа и искусственных сооружений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Реализация подпрограммы "Капитальный ремонт, ремонт и содержание автомобильных дорог общего пользования местного значения Мошенского муниципального округа и искусственных сооружений"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0409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151019Д040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3 100,00000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2 067,63300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0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2 067,63300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1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2400000000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2 067,63300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2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860,00000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освещения территории Мошенского округа в темное время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Работа уличных светильников на территории Мошенского муниципального округа на протяжении темного времени суток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2400123400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600,00000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520,00000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Обеспечение текущего ремонта, содержания и обслуживания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Текущий ремонт, содержание и обслуживание объектов уличного освещения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2400223410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190,00000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180,00000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Текущее содержание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Организация благоустройства и озеленения территорий общего пользования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2400323420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160,00000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110,00000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"Практика поддержки местных инициатив"(ППМИ)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Субсидии бюджетам муниципальных округов, городских и сельских поселений 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2400575260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Субсидии бюджетам муниципальных округов, городских и сельских поселений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Новгородской области на реализацию практики инициативного бюджетирования "Практика поддержки местных инициатив (ППМИ)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24005S5260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299,02000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Реализация практики инициативного бюджетирования "Территориальное общественное самоуправление" (ТОС)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субсидии из областного бюджета бюджетам </w:t>
            </w:r>
            <w:proofErr w:type="spellStart"/>
            <w:r w:rsidRPr="000F144A">
              <w:rPr>
                <w:color w:val="000000"/>
                <w:sz w:val="24"/>
                <w:szCs w:val="24"/>
              </w:rPr>
              <w:t>бюджетам</w:t>
            </w:r>
            <w:proofErr w:type="spellEnd"/>
            <w:r w:rsidRPr="000F144A">
              <w:rPr>
                <w:color w:val="000000"/>
                <w:sz w:val="24"/>
                <w:szCs w:val="24"/>
              </w:rPr>
              <w:t xml:space="preserve"> городского округа, муниципальных округов,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территорий, в рамках практики инициативного бюджетирования "Территориальное общественное самоуправление (ТОС) на территории Новгородской области"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24006S2090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398,61300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Повышение эффективности использования и охраны земель, оптимизация деятельности в сфере обращения с </w:t>
            </w:r>
            <w:r w:rsidRPr="000F144A">
              <w:rPr>
                <w:color w:val="000000"/>
                <w:sz w:val="24"/>
                <w:szCs w:val="24"/>
              </w:rPr>
              <w:lastRenderedPageBreak/>
              <w:t>отходами производства и потребления; обеспечение организации рационального использования и охраны земель; сохранение и восстановление зеленых насаждений, проведение инвентаризации земель.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lastRenderedPageBreak/>
              <w:t xml:space="preserve"> Очистка территории от мусора. Ликвидация несанкционированных свалок. Установка контейнерных площадок, приобретение контейнеров.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2400723450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70,00000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2400800000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4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Создание, восстановление и содержание мест захоронения и воинских захоронений на территории Мошенского муниципального округа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5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907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0503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2400823460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240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50,00000</w:t>
            </w:r>
          </w:p>
        </w:tc>
      </w:tr>
      <w:tr w:rsidR="000F144A" w:rsidRPr="000F144A" w:rsidTr="00721524">
        <w:trPr>
          <w:trHeight w:val="20"/>
        </w:trPr>
        <w:tc>
          <w:tcPr>
            <w:tcW w:w="3201" w:type="dxa"/>
            <w:shd w:val="clear" w:color="auto" w:fill="auto"/>
            <w:hideMark/>
          </w:tcPr>
          <w:p w:rsidR="000F144A" w:rsidRPr="000F144A" w:rsidRDefault="000F144A" w:rsidP="000F144A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F144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center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4 765 400,00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9 959 100,00</w:t>
            </w:r>
          </w:p>
        </w:tc>
      </w:tr>
      <w:tr w:rsidR="000F144A" w:rsidRPr="000F144A" w:rsidTr="00721524">
        <w:trPr>
          <w:trHeight w:val="20"/>
        </w:trPr>
        <w:tc>
          <w:tcPr>
            <w:tcW w:w="6597" w:type="dxa"/>
            <w:gridSpan w:val="5"/>
            <w:shd w:val="clear" w:color="auto" w:fill="auto"/>
            <w:hideMark/>
          </w:tcPr>
          <w:p w:rsidR="000F144A" w:rsidRPr="000F144A" w:rsidRDefault="000F144A" w:rsidP="000F144A">
            <w:pPr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Всего расходов: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357 202,47885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0F144A" w:rsidRPr="000F144A" w:rsidRDefault="000F144A" w:rsidP="000F144A">
            <w:pPr>
              <w:jc w:val="right"/>
              <w:outlineLvl w:val="6"/>
              <w:rPr>
                <w:color w:val="000000"/>
                <w:spacing w:val="-20"/>
                <w:sz w:val="24"/>
                <w:szCs w:val="24"/>
              </w:rPr>
            </w:pPr>
            <w:r w:rsidRPr="000F144A">
              <w:rPr>
                <w:color w:val="000000"/>
                <w:spacing w:val="-20"/>
                <w:sz w:val="24"/>
                <w:szCs w:val="24"/>
              </w:rPr>
              <w:t>303 536,39185</w:t>
            </w:r>
          </w:p>
        </w:tc>
      </w:tr>
    </w:tbl>
    <w:p w:rsidR="0032000A" w:rsidRPr="000F144A" w:rsidRDefault="0032000A" w:rsidP="000F144A">
      <w:pPr>
        <w:tabs>
          <w:tab w:val="left" w:pos="2370"/>
        </w:tabs>
        <w:rPr>
          <w:spacing w:val="-20"/>
          <w:sz w:val="28"/>
        </w:rPr>
      </w:pPr>
    </w:p>
    <w:sectPr w:rsidR="0032000A" w:rsidRPr="000F1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44A"/>
    <w:rsid w:val="000F144A"/>
    <w:rsid w:val="0032000A"/>
    <w:rsid w:val="00385C23"/>
    <w:rsid w:val="0072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4ED21-7538-42D5-8C32-987D1280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14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44A"/>
    <w:rPr>
      <w:color w:val="800080"/>
      <w:u w:val="single"/>
    </w:rPr>
  </w:style>
  <w:style w:type="paragraph" w:customStyle="1" w:styleId="xl94">
    <w:name w:val="xl94"/>
    <w:basedOn w:val="a"/>
    <w:rsid w:val="000F14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0F14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0F14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0F144A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0F14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0F144A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0F1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0F14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0F1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0F1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F1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0F144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0F144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0F144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0F144A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109</Pages>
  <Words>27474</Words>
  <Characters>156602</Characters>
  <Application>Microsoft Office Word</Application>
  <DocSecurity>0</DocSecurity>
  <Lines>1305</Lines>
  <Paragraphs>367</Paragraphs>
  <ScaleCrop>false</ScaleCrop>
  <Company/>
  <LinksUpToDate>false</LinksUpToDate>
  <CharactersWithSpaces>183709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3</cp:revision>
  <dcterms:created xsi:type="dcterms:W3CDTF">2025-04-17T11:11:00Z</dcterms:created>
  <dcterms:modified xsi:type="dcterms:W3CDTF">2025-04-17T11:20:00Z</dcterms:modified>
</cp:coreProperties>
</file>