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08"/>
        <w:gridCol w:w="4947"/>
      </w:tblGrid>
      <w:tr w:rsidR="00464AB3" w:rsidTr="00464AB3">
        <w:trPr>
          <w:trHeight w:val="255"/>
        </w:trPr>
        <w:tc>
          <w:tcPr>
            <w:tcW w:w="2356" w:type="pct"/>
            <w:noWrap/>
            <w:vAlign w:val="bottom"/>
            <w:hideMark/>
          </w:tcPr>
          <w:p w:rsidR="00464AB3" w:rsidRDefault="00464AB3"/>
        </w:tc>
        <w:tc>
          <w:tcPr>
            <w:tcW w:w="2644" w:type="pct"/>
            <w:hideMark/>
          </w:tcPr>
          <w:p w:rsidR="00464AB3" w:rsidRDefault="00464AB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7</w:t>
            </w:r>
          </w:p>
          <w:p w:rsidR="00464AB3" w:rsidRDefault="00464AB3">
            <w:pPr>
              <w:tabs>
                <w:tab w:val="center" w:pos="4153"/>
                <w:tab w:val="right" w:pos="8306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pacing w:val="-8"/>
                <w:sz w:val="28"/>
                <w:szCs w:val="28"/>
                <w:lang w:eastAsia="en-US"/>
              </w:rPr>
              <w:t>к решению Думы Мошенского муниципального округа Новгородской области «О бюджете Мошенского муниципального округа Новгородской области на 2025 год и на плановый период 2026 и 2027 годов»</w:t>
            </w:r>
          </w:p>
        </w:tc>
      </w:tr>
    </w:tbl>
    <w:p w:rsidR="00464AB3" w:rsidRDefault="00464AB3"/>
    <w:p w:rsidR="00464AB3" w:rsidRPr="00464AB3" w:rsidRDefault="00464AB3" w:rsidP="00464AB3"/>
    <w:p w:rsidR="00464AB3" w:rsidRDefault="00464AB3" w:rsidP="00464AB3"/>
    <w:p w:rsidR="00464AB3" w:rsidRDefault="00464AB3" w:rsidP="00464AB3">
      <w:pPr>
        <w:tabs>
          <w:tab w:val="left" w:pos="1770"/>
        </w:tabs>
        <w:jc w:val="center"/>
        <w:rPr>
          <w:b/>
          <w:sz w:val="28"/>
          <w:szCs w:val="28"/>
        </w:rPr>
      </w:pPr>
      <w:r w:rsidRPr="00464AB3">
        <w:rPr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Мошенского муниципального округа Новгородской области и непрограммным направлениям деятельности), группам и подгруппам видов расходов классификации расходов бюджета Мошенского муниципального округа Новгородской </w:t>
      </w:r>
      <w:r>
        <w:rPr>
          <w:b/>
          <w:sz w:val="28"/>
          <w:szCs w:val="28"/>
        </w:rPr>
        <w:t>области на 2025 год и</w:t>
      </w:r>
      <w:r w:rsidRPr="00464AB3">
        <w:rPr>
          <w:b/>
          <w:sz w:val="28"/>
          <w:szCs w:val="28"/>
        </w:rPr>
        <w:t xml:space="preserve"> на плановый период 2026 и 2027 годов</w:t>
      </w:r>
    </w:p>
    <w:tbl>
      <w:tblPr>
        <w:tblW w:w="10680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785"/>
        <w:gridCol w:w="1543"/>
        <w:gridCol w:w="599"/>
        <w:gridCol w:w="1470"/>
        <w:gridCol w:w="1470"/>
        <w:gridCol w:w="1470"/>
      </w:tblGrid>
      <w:tr w:rsidR="00200F7B" w:rsidRPr="00464AB3" w:rsidTr="00FF317E">
        <w:trPr>
          <w:trHeight w:val="20"/>
        </w:trPr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F7B" w:rsidRPr="00464AB3" w:rsidRDefault="00200F7B" w:rsidP="00464AB3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4AB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F7B" w:rsidRPr="00464AB3" w:rsidRDefault="00200F7B" w:rsidP="00464AB3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4AB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F7B" w:rsidRPr="00464AB3" w:rsidRDefault="00200F7B" w:rsidP="00464AB3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4AB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F7B" w:rsidRPr="00464AB3" w:rsidRDefault="00200F7B" w:rsidP="00464AB3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4AB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F7B" w:rsidRPr="00464AB3" w:rsidRDefault="00200F7B" w:rsidP="00464AB3">
            <w:pPr>
              <w:spacing w:line="240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4AB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F7B" w:rsidRPr="00464AB3" w:rsidRDefault="00200F7B" w:rsidP="00464AB3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464AB3">
              <w:rPr>
                <w:color w:val="000000"/>
                <w:sz w:val="22"/>
                <w:szCs w:val="22"/>
              </w:rPr>
              <w:t> </w:t>
            </w:r>
          </w:p>
          <w:p w:rsidR="00200F7B" w:rsidRPr="00464AB3" w:rsidRDefault="00200F7B" w:rsidP="00464AB3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464AB3">
              <w:rPr>
                <w:color w:val="000000"/>
                <w:sz w:val="22"/>
                <w:szCs w:val="22"/>
              </w:rPr>
              <w:t>Сумма (тыс. рублей)</w:t>
            </w:r>
          </w:p>
        </w:tc>
      </w:tr>
      <w:tr w:rsidR="00464AB3" w:rsidRPr="00464AB3" w:rsidTr="00FF317E">
        <w:trPr>
          <w:trHeight w:val="20"/>
        </w:trPr>
        <w:tc>
          <w:tcPr>
            <w:tcW w:w="33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464AB3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64AB3">
              <w:rPr>
                <w:color w:val="000000"/>
                <w:sz w:val="22"/>
                <w:szCs w:val="22"/>
              </w:rPr>
              <w:t>РЗ,ПР</w:t>
            </w:r>
            <w:proofErr w:type="gramEnd"/>
          </w:p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464AB3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464AB3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85 295,39000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72 223,77800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72 207,67800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сти субъектов Российской Федерации, местных администраций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40 188,73200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33 726,73000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33 786,73000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40 188,73200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33 726,73000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33 786,73000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40 188,73200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33 726,73000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33 786,73000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37 203,22200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30 741,22000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30 801,22000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1 381,42100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884,40000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944,40000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1 381,42100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884,40000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944,40000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94,57900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94,57900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2 151,00000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166,91000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Судебная система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6 463,87800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5 851,37800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5 821,37800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4 830,00000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4 231,30000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Контрольно-счетная комиссия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1 633,87800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Председатель Контрольно-счетной комиссии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Аппарат Контрольно-счетной комиссии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35 604,28000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29 948,27000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29 961,47000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  <w:r w:rsidR="00FF317E">
              <w:rPr>
                <w:color w:val="000000"/>
                <w:sz w:val="24"/>
                <w:szCs w:val="24"/>
              </w:rPr>
              <w:t xml:space="preserve"> </w:t>
            </w:r>
            <w:r w:rsidRPr="00464AB3">
              <w:rPr>
                <w:color w:val="000000"/>
                <w:sz w:val="24"/>
                <w:szCs w:val="24"/>
              </w:rPr>
              <w:t>(сверх уровня, предусмотренного соглашением)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 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Подпрограмма "Содействие развитию местного самоуправления в Мошенском муниципальном округе Новгородской области"</w:t>
            </w:r>
            <w:r w:rsidR="00FF317E">
              <w:rPr>
                <w:color w:val="000000"/>
                <w:sz w:val="24"/>
                <w:szCs w:val="24"/>
              </w:rPr>
              <w:t xml:space="preserve"> </w:t>
            </w:r>
            <w:r w:rsidRPr="00464AB3">
              <w:rPr>
                <w:color w:val="000000"/>
                <w:sz w:val="24"/>
                <w:szCs w:val="24"/>
              </w:rPr>
              <w:t>муниципальной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Содействие развитию местного самоуправления в Мошенском муниципальном округе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подпрограммы "Содействие развитию местного самоуправления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Мошенского муниципального округа"</w:t>
            </w:r>
            <w:r w:rsidR="00FF317E">
              <w:rPr>
                <w:color w:val="000000"/>
                <w:sz w:val="24"/>
                <w:szCs w:val="24"/>
              </w:rPr>
              <w:t xml:space="preserve"> </w:t>
            </w:r>
            <w:r w:rsidRPr="00464AB3">
              <w:rPr>
                <w:color w:val="000000"/>
                <w:sz w:val="24"/>
                <w:szCs w:val="24"/>
              </w:rPr>
              <w:t>муниципальной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подпрограммы "Обеспечение хранения архивного фонда Мошенского муниципального округа"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</w:t>
            </w:r>
            <w:r w:rsidR="00FF317E">
              <w:rPr>
                <w:color w:val="000000"/>
                <w:sz w:val="24"/>
                <w:szCs w:val="24"/>
              </w:rPr>
              <w:t xml:space="preserve"> </w:t>
            </w:r>
            <w:r w:rsidRPr="00464AB3">
              <w:rPr>
                <w:color w:val="000000"/>
                <w:sz w:val="24"/>
                <w:szCs w:val="24"/>
              </w:rPr>
              <w:t>"Обеспечение деятельности муниципальных учреждений и органов местного самоуправления Мошенского муниципального округа Новгородской области в сфере бухгалтерского и иного (хозяйственно-технического) обслуживания"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21 281,70000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8 589,80000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12 461,90000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электронного муниципалитета и информационного общества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 и модернизация информационных систем органов местного самоуправления Мошенского округа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развития электронного документооборота в органах местного самоуправления Мошенского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взаимодействия информационных систем органов местного самоуправления Мошенского округа с региональными и федеральными информационными системами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Модернизация муниципальных информационных систем и автоматизированных рабочих мест, обеспечивающих межведомственное электронное взаимодействие при предоставлении государственных и муниципальных услуг в электронном виде органами местного самоуправления и подведомственными им учреждениями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приобретения и внедрения лицензионного программного обеспечения для автоматизированных рабочих мест в Администрации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Поддержание в рабочем состоянии оргтехники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Ремонт и обслуживание оргтехники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округа и муниципальными организациями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приобретения, внедрения и сопровождения специального лицензионного программного обеспечения и информационных систем для органов местного самоуправления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Формирование единого пространства доверия электронной подписи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электронными подписями, работников органов местного самоуправления, имеющих право подписи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форм поддержки социально ориентированных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некоммерческих организаций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Оказание финансовой, имущественной и информационной поддержки социально ориентированных некоммерческих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Предоставление субсидий СОНКО, реализующим социально значимые программы (проекты) по видам деятельности в соответствии с пунктом 1 </w:t>
            </w:r>
            <w:proofErr w:type="gramStart"/>
            <w:r w:rsidRPr="00464AB3">
              <w:rPr>
                <w:color w:val="000000"/>
                <w:sz w:val="24"/>
                <w:szCs w:val="24"/>
              </w:rPr>
              <w:t>ста-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тьи</w:t>
            </w:r>
            <w:proofErr w:type="spellEnd"/>
            <w:proofErr w:type="gramEnd"/>
            <w:r w:rsidRPr="00464AB3">
              <w:rPr>
                <w:color w:val="000000"/>
                <w:sz w:val="24"/>
                <w:szCs w:val="24"/>
              </w:rPr>
              <w:t xml:space="preserve"> 31.1 Федерального закона от 12.01.1996 № 7-ФЗ "О некоммерческих организациях"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497,40000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497,40000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7 005,09000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7 005,09000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463,30000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52,90000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4 641,85100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3 393,60000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3 313,60000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3 682,50000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2 621,30000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2 541,30000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дежурно-диспетчерской службы Администрации муниципального округа"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Материальное, техническое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 резерва материальных ресурсов для ликвидации чрезвычайных ситуаций Администрации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надлежащее состояние для использования их в любое время года в целях пожаротушения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первичных мер пожарной безопасности на территории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959,35100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"Профилактика терроризма, экстремизма и технической защиты информационных систем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Улучшение организации и проведения профилактических мероприятий и мероприятий по информационно- пропагандистскому сопровождению антитеррористической деятельности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0620200000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Установка камер видеонаблюдения в местах скопления людей, отдыха населения, молодежи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Предупреждение нарушений общественного порядка, профилактика правонарушений в общественных местах, защита личности, общества и государства от противоправных посягательств, на основе принципов добровольности, законности, гуманности, соблюдения и защиты прав и свобод человека и гражданина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программы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61 406,55078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40 676,02085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44 161,82085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при осуществлении деятельности по обращению с животными без владельцев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Транспорт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47 694,10000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31 995,30000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41 323,90000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47 594,10000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27 792,00743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27 792,00743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27 792,00743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формирование муниципальных дорожных фондов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законопослушного поведения участников дорожного движения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пешеходов.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и проведение конкурсов, соревнований, викторин, направленных на обучение детей и подростков навыкам безопасного поведения на улицах и дорогах, в том числе приобретение материальных, технических средств, необходимых для их проведения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2 693,85078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638,00000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Подпрограмма "Развитие торговли в Мошенском муниципальном округе" муниципальной программы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 условий для развития торговли на территории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округе"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 условий для обеспечения жителей отдаленных и (или) труднодоступных населенных пунктов Мошенского муниципального округа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ным предпринимателям, физическим лицам - производителям товаров, работ,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иных межбюджетных трансфертов из областного бюджета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малого и среднего предпринимательства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экономике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системы управления муниципальным имуществом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1 323,00000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Обеспечение эффективного использования муниципального имущества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рационального и эффективного использования земельных </w:t>
            </w:r>
            <w:proofErr w:type="spellStart"/>
            <w:proofErr w:type="gramStart"/>
            <w:r w:rsidRPr="00464AB3">
              <w:rPr>
                <w:color w:val="000000"/>
                <w:sz w:val="24"/>
                <w:szCs w:val="24"/>
              </w:rPr>
              <w:t>участков,государственная</w:t>
            </w:r>
            <w:proofErr w:type="spellEnd"/>
            <w:proofErr w:type="gramEnd"/>
            <w:r w:rsidRPr="00464AB3">
              <w:rPr>
                <w:color w:val="000000"/>
                <w:sz w:val="24"/>
                <w:szCs w:val="24"/>
              </w:rPr>
              <w:t xml:space="preserve"> собственность на которые не разграничена, в Мошенском муниципальном округе в пределах полномочий, установленных областным законом от 27.04.2015 № 763-ОЗ "О предоставлении земельных участков на территории Новгородской области" (далее земельные участки, государственная собственность на которые не разграничена)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проведения работ в отношении границ территориальных зон и населенных пунктов Мошенского муниципального округа с целью внесения сведений в Единый государственный реестр недвижимости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"Использование и охрана земель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Оформление выморочных земельных участков в муниципальную собственность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21 099,88486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8 619,20000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8 635,40000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1 334,22186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«Капитальный ремонт муниципального жилищного фонда Мошенского муниципального округа Новгородской области»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899,62400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Капитальный ремонт муниципальных жилых помещений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капитального ремонта муниципального жилищного фонда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Перечисление платежей оператору фонда капитального ремонта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434,59786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по содержанию и обеспечению коммунальными услугами муниципального жилищного фонда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3 639,05400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460,60000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</w:t>
            </w:r>
            <w:r w:rsidR="00FF317E">
              <w:rPr>
                <w:color w:val="000000"/>
                <w:sz w:val="24"/>
                <w:szCs w:val="24"/>
              </w:rPr>
              <w:t xml:space="preserve"> </w:t>
            </w:r>
            <w:r w:rsidRPr="00464AB3">
              <w:rPr>
                <w:color w:val="000000"/>
                <w:sz w:val="24"/>
                <w:szCs w:val="24"/>
              </w:rPr>
              <w:t>"Энергосбережение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Сокращение объемов потребления электрической энергии муниципальными бюджетными и автономными учреждениями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Замена </w:t>
            </w:r>
            <w:proofErr w:type="gramStart"/>
            <w:r w:rsidRPr="00464AB3">
              <w:rPr>
                <w:color w:val="000000"/>
                <w:sz w:val="24"/>
                <w:szCs w:val="24"/>
              </w:rPr>
              <w:t>ламп накаливания на энергосберегающие</w:t>
            </w:r>
            <w:proofErr w:type="gramEnd"/>
            <w:r w:rsidRPr="00464AB3">
              <w:rPr>
                <w:color w:val="000000"/>
                <w:sz w:val="24"/>
                <w:szCs w:val="24"/>
              </w:rPr>
              <w:t xml:space="preserve"> и установка систем автоматического управления освещением в муниципальных бюджетных учреждениях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инфраструктуры водоснабжения и водоотведения населенных пунктов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3 148,45400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Мошенского муниципального округа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Строительство, реконструкция и капитальный ремонт объектов нецентрализованного водоснабжения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Развитие систем централизованного водоснабжения Мошенского муниципального округа путем строительства, реконструкции и капитального ремонта объектов централизованного водоснабжения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3 128,45400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Содержание и ремонт объектов централизованного водоснабжения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3 128,45400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881,38577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881,38577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2 247,06823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2 247,06823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487,60000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индивидуальным предпринимателям, при оказании населению услуг общественных бань,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Иные бюджетные ассигнования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16 126,60900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7 753,60000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7 753,60000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14 015,09932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7 691,60000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7 691,60000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3 261,00000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1 071,90000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876,40000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2 343,96632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1 022,20000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1 022,20000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инициативных проектов на территории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1 902,93332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1 902,93332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1 902,93332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инициативных проектов, включенных в муниципальные программы муниципальных образований Новгородской области, обеспечивших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"Народный бюджет"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"Народный бюджет"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"Народный бюджет"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"Практика поддержки местных инициатив"(ППМИ)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из областного бюджета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"Территориальное общественное самоуправление" (ТОС)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FE498F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из областного бюджета бюджетам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873,61300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849,00000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549,00000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чистоты и порядка на территории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1 735,60000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1 513,00000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современной городской среды на территории села Мошенское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1 987,50968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Благоустройство территорий села Мошенское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Благоустройство общественных территорий (в том числе изготовление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проектно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- сметной документации по благоустройству общественной территории)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Региональный проект "Формирование комфортной городской среды" (Новгородская область)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250И400000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Предупреждение причинения вреда окружающей среде и здоровья населения при размещении твердых коммунальных отходов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Изготовление проектно-сметной документации по рекультивации земельного участка, загрязненного в результате расположения на нём объекта размещения отходов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деятельности по захоронению твердых коммунальных отходов в части раз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Противодействие возникновению мест несанкционированного размещения отходов на территории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прочих мероприятий программы Мошенского муниципального округа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на осуществление мероприятий по созданию и (или) содержанию мест (площадок) накопления твердых коммунальных отходов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образований Новгородской области на осуществление мероприятий по изготовлению и установке агита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ционных плакатов, направленных на профилактику нарушения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округов, городского округа Новгородской области на осуществление мероприятий по созданию и (или) содержанию мест (площадок) накопления твердых коммунальных отходов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112 852,88000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106 530,92000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106 285,82000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32 075,10600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32 075,10600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32 075,10600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19 774,55600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17 579,20000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17 579,20000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66 979,77400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64 329,87000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64 084,77000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66 979,77400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64 329,87000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64 084,77000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области"Развитие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образования в Мошенском муниципальном округе Новгородской области 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подпрограммы "Развитие дополнительного образования в Мошенском муниципальном округе"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работы с обучающимися общеобразовательных организаций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Функционирование психолого- педагогического класса на базе муниципального автономного общеобразовательного учреждения "Средняя школа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с.Мошенское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65 891,27400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63 457,57000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63 212,47000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17 922,56400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16 027,52000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16 027,52000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41 374,13000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41 143,93000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41 050,13000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изготовление бланков документов об образовании и (или) о квалификации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Региональный проект "Педагоги и наставники (Новгородская область)"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6 594,58000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6 286,12000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6 134,82000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на финансовое обеспечение выплат ежемесячного денежного вознаграждения советникам директоров по воспитанию и взаимодей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которой являются средства федерального и областного бюджетов)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8 671,70000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7 789,90000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7 789,90000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ской области</w:t>
            </w:r>
            <w:r w:rsidR="00FE498F">
              <w:rPr>
                <w:color w:val="000000"/>
                <w:sz w:val="24"/>
                <w:szCs w:val="24"/>
              </w:rPr>
              <w:t xml:space="preserve"> </w:t>
            </w:r>
            <w:r w:rsidRPr="00464AB3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 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Создание условий для функционирования новых мест в образовательных организациях для реализации дополнительных общеобразовательных программ всех направленностей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5 606,60000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5 606,60000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культуры, искусства, образования в сфере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5 606,60000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наркомании и зависимости от других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веществ в Мошенском муниципальном округе" муниципальной программы Мошенского муниципального округа Новгородской области "Защита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0630000000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Снижение актуальности проблем, связанных со злоупотреблением наркотиками и другими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веществами в Мошенском муниципальном округе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0630100000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трудоустройства несовершеннолетних в период летних каникул с целью их занятости и отвлечения от вредных привычек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Вовлечение молодежи в социальную практику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(прочих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(комплекса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добровольчества (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>)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Развитие добровольческой (волонтерской) деятельности в отношении отдельных категорий граждан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Участие в региональном форуме "Серебряные сердца"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Проведение значимых региональных событий в сфере добровольчества (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2800700000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Ежегодная организация и проведение церемоний чествования добровольцев (волонтеров)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4 861,30000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4 266,40000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4 266,40000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4 762,30000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4 251,40000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4 251,40000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"Организация каникулярного образовательного отдыха, здорового образа жизни" муниципальной программы Мошенского муниципального округа Новгородской области</w:t>
            </w:r>
            <w:r w:rsidR="00FE498F">
              <w:rPr>
                <w:color w:val="000000"/>
                <w:sz w:val="24"/>
                <w:szCs w:val="24"/>
              </w:rPr>
              <w:t xml:space="preserve"> </w:t>
            </w:r>
            <w:r w:rsidRPr="00464AB3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каникулярного образовательного отдыха, здорового образа жизни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0930100000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Проведение мероприятий по организации деятельности летних оздоровительных лагерей с дневным пребыванием,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профильных лагерей, лагерей труда и отдыха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Закрепление педагогических работников в педагогической профессии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3 789,60000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3 789,60000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3 384,70000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2 966,20000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2 561,30000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823,40000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пальной службы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Повышение уровня профессиональной подготовки муниципальных служащих, служащих и лиц, замещающих муниципальные должности в органах местного самоуправления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Организация обучения муниципальных служащих, служащих и лиц, замещающих муниципальные должности по программам профессиональной переподготовки и повышение квалификации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Выплата муниципальной стипендии студентам, заключившим договор с Администрацией Мошенского муниципального округа Новгородской области о целевом обучении по программе высшего образования -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бакалавриат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по направлению подготовки</w:t>
            </w:r>
            <w:r w:rsidR="00FE498F">
              <w:rPr>
                <w:color w:val="000000"/>
                <w:sz w:val="24"/>
                <w:szCs w:val="24"/>
              </w:rPr>
              <w:t xml:space="preserve"> </w:t>
            </w:r>
            <w:r w:rsidRPr="00464AB3">
              <w:rPr>
                <w:color w:val="000000"/>
                <w:sz w:val="24"/>
                <w:szCs w:val="24"/>
              </w:rPr>
              <w:t>"Государственное и муниципальное управление"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Стипендии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43 220,04121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35 907,51400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35 908,77300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41 928,24121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34 775,81400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34 777,07300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41 928,24121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34 775,81400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34 777,07300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41 878,24121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34 725,81400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34 727,07300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муниципального округа. Укрепление и модернизация материально-технической базы учреждений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2 544,34121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348,61400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199,87300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субсиди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38 940,90000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34 042,20000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34 192,20000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муниципального округа" муниципальной программы Мошенского муници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муниципального округа"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1 291,80000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1 131,70000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19 066,00000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18 010,30000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18 010,30000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Выплата пенсии за выслугу лет муниципальным служащим и лицам, замещавшим должности муниципальной службы в органах местного самоуправления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387,90000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Оказание мер муниципальной поддержки педагогическим работникам общеобразовательных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Ежемесячная денежная выплата педагогическим работникам, принятым на работу на вакантные должности в общеобразовательные организации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2022-2027 годах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командировке, а также погибших (умерших) граждан, сотрудников; граждан, сотрудников, ставших инвалидами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на обеспечение расходных обязательств, связанных с реализацией указа Губернатора Новгородской области от 11.10.2022 № 584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13 529,20000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13 104,40000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13 104,40000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12 678,70000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12 678,70000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12 678,70000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791182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0950200000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жильем молодых семей в Мошенском муниципальном округе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Предоставление молодым семьям - участникам Программы "Обеспечен</w:t>
            </w:r>
            <w:r w:rsidR="00791182">
              <w:rPr>
                <w:color w:val="000000"/>
                <w:sz w:val="24"/>
                <w:szCs w:val="24"/>
              </w:rPr>
              <w:t>ие жильем молодых семей в Мошен</w:t>
            </w:r>
            <w:r w:rsidRPr="00464AB3">
              <w:rPr>
                <w:color w:val="000000"/>
                <w:sz w:val="24"/>
                <w:szCs w:val="24"/>
              </w:rPr>
              <w:t>ском муниципальном округе Новгородской области" социальных выплат на приобретение жилого помещения или создание объекта индивидуального жилищного строительства, а также использования таких выплат, в соответствии с Правилами предоставления молодым семьям социальных выплат на приобретение (строительство), ж</w:t>
            </w:r>
            <w:r w:rsidR="00791182">
              <w:rPr>
                <w:color w:val="000000"/>
                <w:sz w:val="24"/>
                <w:szCs w:val="24"/>
              </w:rPr>
              <w:t>илья и их ис</w:t>
            </w:r>
            <w:bookmarkStart w:id="0" w:name="_GoBack"/>
            <w:bookmarkEnd w:id="0"/>
            <w:r w:rsidRPr="00464AB3">
              <w:rPr>
                <w:color w:val="000000"/>
                <w:sz w:val="24"/>
                <w:szCs w:val="24"/>
              </w:rPr>
              <w:t>пользования утвержденными постановлением Правительства Российской Федерации от 17 декабря 2010 года № 1050 (далее - Правила), создание условий для привлечения молодыми семьями собственных средств, дополнительных финансовых средств кредитных и других организаций для приобретения жилья или строительства индивидуального жилья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(сверх уровня, предусмотренного соглашением)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6 608,70000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4 300,60000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6 608,70000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4 300,60000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6 608,70000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4 300,60000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2 012,00000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Развитие физической культуры и массового спорта на территории Мошенского муниципального округа Новгородской области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</w:t>
            </w:r>
            <w:r w:rsidRPr="00464AB3">
              <w:rPr>
                <w:color w:val="000000"/>
                <w:sz w:val="24"/>
                <w:szCs w:val="24"/>
              </w:rPr>
              <w:lastRenderedPageBreak/>
              <w:t>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Развитие инфраструктуры отрасли физической культуры и спорта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1 900,00000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из областного бюджета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"Обеспечение реализации муниципальной программы "Обеспечение реализации муниципальной программы "Развитие физической культуры и спорта на территории Мошенского муниципального округа Новгородской области" муниципальной 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Развитие отрасли физической культуры и спорта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464AB3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464AB3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округа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464AB3" w:rsidRPr="00464AB3" w:rsidTr="00200F7B">
        <w:trPr>
          <w:trHeight w:val="20"/>
        </w:trPr>
        <w:tc>
          <w:tcPr>
            <w:tcW w:w="3343" w:type="dxa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464AB3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599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4 765 400,00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9 959 100,00</w:t>
            </w:r>
          </w:p>
        </w:tc>
      </w:tr>
      <w:tr w:rsidR="00464AB3" w:rsidRPr="00464AB3" w:rsidTr="00200F7B">
        <w:trPr>
          <w:trHeight w:val="20"/>
        </w:trPr>
        <w:tc>
          <w:tcPr>
            <w:tcW w:w="6270" w:type="dxa"/>
            <w:gridSpan w:val="4"/>
            <w:shd w:val="clear" w:color="auto" w:fill="auto"/>
            <w:hideMark/>
          </w:tcPr>
          <w:p w:rsidR="00464AB3" w:rsidRPr="00464AB3" w:rsidRDefault="00464AB3" w:rsidP="00464AB3">
            <w:pPr>
              <w:spacing w:line="240" w:lineRule="exac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Всего расходов: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357 202,47885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295 243,03285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464AB3" w:rsidRPr="00464AB3" w:rsidRDefault="00464AB3" w:rsidP="00464AB3">
            <w:pPr>
              <w:spacing w:line="240" w:lineRule="exact"/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464AB3">
              <w:rPr>
                <w:color w:val="000000"/>
                <w:spacing w:val="-20"/>
                <w:sz w:val="24"/>
                <w:szCs w:val="24"/>
              </w:rPr>
              <w:t>303 536,39185</w:t>
            </w:r>
          </w:p>
        </w:tc>
      </w:tr>
    </w:tbl>
    <w:p w:rsidR="002F44B4" w:rsidRPr="00464AB3" w:rsidRDefault="002F44B4" w:rsidP="00464AB3">
      <w:pPr>
        <w:tabs>
          <w:tab w:val="left" w:pos="2805"/>
        </w:tabs>
        <w:rPr>
          <w:sz w:val="28"/>
          <w:szCs w:val="28"/>
        </w:rPr>
      </w:pPr>
    </w:p>
    <w:sectPr w:rsidR="002F44B4" w:rsidRPr="0046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B3"/>
    <w:rsid w:val="00200F7B"/>
    <w:rsid w:val="002F44B4"/>
    <w:rsid w:val="00464AB3"/>
    <w:rsid w:val="00791182"/>
    <w:rsid w:val="008C026D"/>
    <w:rsid w:val="00FE498F"/>
    <w:rsid w:val="00FF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359E4-EBF2-41B6-A0FB-5FAFEF95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4A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4AB3"/>
    <w:rPr>
      <w:color w:val="800080"/>
      <w:u w:val="single"/>
    </w:rPr>
  </w:style>
  <w:style w:type="paragraph" w:customStyle="1" w:styleId="xl92">
    <w:name w:val="xl92"/>
    <w:basedOn w:val="a"/>
    <w:rsid w:val="00464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464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464AB3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464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464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464AB3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464AB3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464AB3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46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464A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464A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46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464A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464AB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464AB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68</Pages>
  <Words>19757</Words>
  <Characters>112616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6</cp:revision>
  <dcterms:created xsi:type="dcterms:W3CDTF">2025-04-17T11:21:00Z</dcterms:created>
  <dcterms:modified xsi:type="dcterms:W3CDTF">2025-04-17T11:30:00Z</dcterms:modified>
</cp:coreProperties>
</file>