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C7F" w:rsidRPr="008B207A" w:rsidRDefault="00EC6C7F" w:rsidP="00EC6C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EC6C7F" w:rsidRPr="008B207A" w:rsidRDefault="00EC6C7F" w:rsidP="00EC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C7F" w:rsidRPr="008B207A" w:rsidRDefault="00EC6C7F" w:rsidP="00EC6C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  <w:r w:rsidR="006A4EE7" w:rsidRPr="008B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МОШЕНСКОГО</w:t>
      </w:r>
      <w:r w:rsidR="006A4EE7" w:rsidRPr="008B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</w:p>
    <w:p w:rsidR="00EC6C7F" w:rsidRPr="008B207A" w:rsidRDefault="00EC6C7F" w:rsidP="00EC6C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НОВГОРОДСКОЙ</w:t>
      </w:r>
      <w:r w:rsidR="006A4EE7" w:rsidRPr="008B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ОБЛАСТИ</w:t>
      </w:r>
    </w:p>
    <w:p w:rsidR="00EC6C7F" w:rsidRPr="008B207A" w:rsidRDefault="00EC6C7F" w:rsidP="00EC6C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C7F" w:rsidRPr="008B207A" w:rsidRDefault="00EC6C7F" w:rsidP="00EC6C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8B207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РЕШЕНИЕ</w:t>
      </w:r>
    </w:p>
    <w:p w:rsidR="00EC6C7F" w:rsidRPr="008B207A" w:rsidRDefault="00EC6C7F" w:rsidP="00EC6C7F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kern w:val="20"/>
          <w:sz w:val="28"/>
          <w:szCs w:val="28"/>
          <w:lang w:eastAsia="ru-RU"/>
        </w:rPr>
      </w:pPr>
    </w:p>
    <w:p w:rsidR="00EC6C7F" w:rsidRPr="008B207A" w:rsidRDefault="00EC6C7F" w:rsidP="006A4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B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r w:rsidR="006A4EE7" w:rsidRPr="008B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утверждении</w:t>
      </w:r>
      <w:r w:rsidR="006A4EE7" w:rsidRPr="008B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Положения о порядке и условиях предоставления в аренду муниципального имущества, включенного в перечень муниципального имущества Мошенского муниципального округа,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физическим лицам, применяющим специальный налоговый режим «Налог на профессиональный доход» </w:t>
      </w:r>
      <w:proofErr w:type="gramEnd"/>
    </w:p>
    <w:p w:rsidR="00EC6C7F" w:rsidRPr="008B207A" w:rsidRDefault="00EC6C7F" w:rsidP="00EC6C7F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kern w:val="20"/>
          <w:sz w:val="28"/>
          <w:szCs w:val="28"/>
          <w:lang w:eastAsia="ru-RU"/>
        </w:rPr>
      </w:pPr>
    </w:p>
    <w:p w:rsidR="00EC6C7F" w:rsidRPr="008B207A" w:rsidRDefault="00EC6C7F" w:rsidP="00EC6C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</w:p>
    <w:p w:rsidR="00EC6C7F" w:rsidRPr="008B207A" w:rsidRDefault="00EC6C7F" w:rsidP="00EC6C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20___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EC6C7F" w:rsidRPr="008B207A" w:rsidRDefault="00EC6C7F" w:rsidP="00EC6C7F">
      <w:pPr>
        <w:tabs>
          <w:tab w:val="left" w:pos="72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EC6C7F" w:rsidRPr="008B207A" w:rsidRDefault="00EC6C7F" w:rsidP="00EC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2007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209-ФЗ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"О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proofErr w:type="gramEnd"/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Федерации",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07A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</w:t>
      </w:r>
      <w:hyperlink r:id="rId5" w:tgtFrame="_blank" w:history="1">
        <w:r w:rsidR="008B207A"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26 июля 2006 года № 135-ФЗ</w:t>
        </w:r>
      </w:hyperlink>
      <w:r w:rsidR="008B207A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защите конкуренции"</w:t>
      </w:r>
      <w:r w:rsid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6CD1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6CD1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20.02.2025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232,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доверительное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новгородской области</w:t>
      </w:r>
      <w:proofErr w:type="gramEnd"/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№</w:t>
      </w:r>
      <w:proofErr w:type="gramStart"/>
      <w:r w:rsidR="008B207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,</w:t>
      </w:r>
      <w:proofErr w:type="gramEnd"/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</w:p>
    <w:p w:rsidR="00EC6C7F" w:rsidRPr="008B207A" w:rsidRDefault="00EC6C7F" w:rsidP="00EC6C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EC6C7F" w:rsidRPr="008B207A" w:rsidRDefault="00EC6C7F" w:rsidP="00EC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прилагаемое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образующим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применяющим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«Налог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доход»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Положение).</w:t>
      </w:r>
    </w:p>
    <w:p w:rsidR="002438A2" w:rsidRPr="008B207A" w:rsidRDefault="006A4EE7" w:rsidP="00EC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Новгородской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условиях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включенного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имущества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предназначенного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организациям,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образующим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инфраструктуру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предпринимательства,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применяющим</w:t>
      </w:r>
      <w:proofErr w:type="gramEnd"/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специальный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«Налог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профессиональный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доход»</w:t>
      </w:r>
      <w:r w:rsidR="008369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6C7F" w:rsidRPr="008B207A" w:rsidRDefault="00EC6C7F" w:rsidP="00EC6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опубликования.</w:t>
      </w:r>
    </w:p>
    <w:p w:rsidR="00EC6C7F" w:rsidRPr="008B207A" w:rsidRDefault="00EC6C7F" w:rsidP="00EC6C7F">
      <w:pPr>
        <w:shd w:val="clear" w:color="auto" w:fill="FFFFFF"/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бюллетене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«Официальный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вестник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округа»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информационно-телекоммуникационной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«Интернет».</w:t>
      </w:r>
    </w:p>
    <w:p w:rsidR="006A4EE7" w:rsidRPr="008B207A" w:rsidRDefault="006A4EE7" w:rsidP="00EC6C7F">
      <w:pPr>
        <w:shd w:val="clear" w:color="auto" w:fill="FFFFFF"/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tbl>
      <w:tblPr>
        <w:tblW w:w="9531" w:type="dxa"/>
        <w:tblLook w:val="01E0" w:firstRow="1" w:lastRow="1" w:firstColumn="1" w:lastColumn="1" w:noHBand="0" w:noVBand="0"/>
      </w:tblPr>
      <w:tblGrid>
        <w:gridCol w:w="4608"/>
        <w:gridCol w:w="603"/>
        <w:gridCol w:w="4320"/>
      </w:tblGrid>
      <w:tr w:rsidR="00EC6C7F" w:rsidRPr="008B207A" w:rsidTr="00EC6C7F">
        <w:tc>
          <w:tcPr>
            <w:tcW w:w="4608" w:type="dxa"/>
            <w:hideMark/>
          </w:tcPr>
          <w:p w:rsidR="00EC6C7F" w:rsidRPr="008B207A" w:rsidRDefault="00EC6C7F" w:rsidP="00EC6C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Председатель</w:t>
            </w:r>
            <w:r w:rsidR="006A4EE7"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Думы</w:t>
            </w:r>
          </w:p>
          <w:p w:rsidR="00EC6C7F" w:rsidRPr="008B207A" w:rsidRDefault="00EC6C7F" w:rsidP="00EC6C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="006A4EE7"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округа</w:t>
            </w:r>
          </w:p>
          <w:p w:rsidR="00EC6C7F" w:rsidRPr="008B207A" w:rsidRDefault="00EC6C7F" w:rsidP="00EC6C7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В.В.</w:t>
            </w:r>
            <w:r w:rsidR="006A4EE7"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</w:t>
            </w:r>
          </w:p>
        </w:tc>
        <w:tc>
          <w:tcPr>
            <w:tcW w:w="603" w:type="dxa"/>
          </w:tcPr>
          <w:p w:rsidR="00EC6C7F" w:rsidRPr="008B207A" w:rsidRDefault="00EC6C7F" w:rsidP="00EC6C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0" w:type="dxa"/>
          </w:tcPr>
          <w:p w:rsidR="00EC6C7F" w:rsidRPr="008B207A" w:rsidRDefault="00EC6C7F" w:rsidP="00EC6C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Глава</w:t>
            </w:r>
            <w:r w:rsidR="006A4EE7"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="006A4EE7"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округа</w:t>
            </w:r>
          </w:p>
          <w:p w:rsidR="00EC6C7F" w:rsidRPr="008B207A" w:rsidRDefault="00EC6C7F" w:rsidP="00EC6C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6C7F" w:rsidRPr="008B207A" w:rsidRDefault="00EC6C7F" w:rsidP="00EC6C7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Т.В.</w:t>
            </w:r>
            <w:r w:rsidR="006A4EE7"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B20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Павлова</w:t>
            </w:r>
          </w:p>
        </w:tc>
      </w:tr>
    </w:tbl>
    <w:p w:rsidR="002438A2" w:rsidRPr="008B207A" w:rsidRDefault="002438A2" w:rsidP="00EC6C7F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4"/>
          <w:lang w:eastAsia="ru-RU"/>
        </w:rPr>
      </w:pPr>
    </w:p>
    <w:p w:rsidR="00422492" w:rsidRPr="008B207A" w:rsidRDefault="00422492" w:rsidP="002438A2">
      <w:pPr>
        <w:spacing w:after="0" w:line="240" w:lineRule="auto"/>
        <w:ind w:firstLine="567"/>
        <w:jc w:val="right"/>
        <w:rPr>
          <w:rFonts w:ascii="Arial" w:eastAsia="Times New Roman" w:hAnsi="Arial" w:cs="Arial"/>
          <w:szCs w:val="24"/>
          <w:lang w:eastAsia="ru-RU"/>
        </w:rPr>
      </w:pPr>
    </w:p>
    <w:p w:rsidR="0024050D" w:rsidRDefault="0024050D">
      <w:pPr>
        <w:rPr>
          <w:rFonts w:ascii="Arial" w:eastAsia="Times New Roman" w:hAnsi="Arial" w:cs="Arial"/>
          <w:szCs w:val="24"/>
          <w:lang w:eastAsia="ru-RU"/>
        </w:rPr>
      </w:pPr>
    </w:p>
    <w:p w:rsidR="0024050D" w:rsidRDefault="0024050D">
      <w:pPr>
        <w:rPr>
          <w:rFonts w:ascii="Arial" w:eastAsia="Times New Roman" w:hAnsi="Arial" w:cs="Arial"/>
          <w:szCs w:val="24"/>
          <w:lang w:eastAsia="ru-RU"/>
        </w:rPr>
      </w:pPr>
    </w:p>
    <w:p w:rsidR="0024050D" w:rsidRDefault="0024050D">
      <w:pPr>
        <w:rPr>
          <w:rFonts w:ascii="Arial" w:eastAsia="Times New Roman" w:hAnsi="Arial" w:cs="Arial"/>
          <w:szCs w:val="24"/>
          <w:lang w:eastAsia="ru-RU"/>
        </w:rPr>
      </w:pPr>
    </w:p>
    <w:p w:rsidR="0024050D" w:rsidRDefault="0024050D">
      <w:pPr>
        <w:rPr>
          <w:rFonts w:ascii="Arial" w:eastAsia="Times New Roman" w:hAnsi="Arial" w:cs="Arial"/>
          <w:szCs w:val="24"/>
          <w:lang w:eastAsia="ru-RU"/>
        </w:rPr>
      </w:pPr>
    </w:p>
    <w:p w:rsidR="0024050D" w:rsidRDefault="0024050D">
      <w:pPr>
        <w:rPr>
          <w:rFonts w:ascii="Arial" w:eastAsia="Times New Roman" w:hAnsi="Arial" w:cs="Arial"/>
          <w:szCs w:val="24"/>
          <w:lang w:eastAsia="ru-RU"/>
        </w:rPr>
      </w:pPr>
    </w:p>
    <w:p w:rsidR="0024050D" w:rsidRDefault="0024050D">
      <w:pPr>
        <w:rPr>
          <w:rFonts w:ascii="Arial" w:eastAsia="Times New Roman" w:hAnsi="Arial" w:cs="Arial"/>
          <w:szCs w:val="24"/>
          <w:lang w:eastAsia="ru-RU"/>
        </w:rPr>
      </w:pPr>
    </w:p>
    <w:p w:rsidR="0024050D" w:rsidRDefault="0024050D">
      <w:pPr>
        <w:rPr>
          <w:rFonts w:ascii="Arial" w:eastAsia="Times New Roman" w:hAnsi="Arial" w:cs="Arial"/>
          <w:szCs w:val="24"/>
          <w:lang w:eastAsia="ru-RU"/>
        </w:rPr>
      </w:pPr>
    </w:p>
    <w:p w:rsidR="0024050D" w:rsidRDefault="0024050D">
      <w:pPr>
        <w:rPr>
          <w:rFonts w:ascii="Arial" w:eastAsia="Times New Roman" w:hAnsi="Arial" w:cs="Arial"/>
          <w:szCs w:val="24"/>
          <w:lang w:eastAsia="ru-RU"/>
        </w:rPr>
      </w:pPr>
    </w:p>
    <w:p w:rsidR="0024050D" w:rsidRDefault="0024050D">
      <w:pPr>
        <w:rPr>
          <w:rFonts w:ascii="Arial" w:eastAsia="Times New Roman" w:hAnsi="Arial" w:cs="Arial"/>
          <w:szCs w:val="24"/>
          <w:lang w:eastAsia="ru-RU"/>
        </w:rPr>
      </w:pPr>
    </w:p>
    <w:p w:rsidR="0024050D" w:rsidRDefault="0024050D">
      <w:pPr>
        <w:rPr>
          <w:rFonts w:ascii="Arial" w:eastAsia="Times New Roman" w:hAnsi="Arial" w:cs="Arial"/>
          <w:szCs w:val="24"/>
          <w:lang w:eastAsia="ru-RU"/>
        </w:rPr>
      </w:pPr>
    </w:p>
    <w:p w:rsidR="0024050D" w:rsidRDefault="0024050D">
      <w:pPr>
        <w:rPr>
          <w:rFonts w:ascii="Arial" w:eastAsia="Times New Roman" w:hAnsi="Arial" w:cs="Arial"/>
          <w:szCs w:val="24"/>
          <w:lang w:eastAsia="ru-RU"/>
        </w:rPr>
      </w:pPr>
    </w:p>
    <w:p w:rsidR="0024050D" w:rsidRDefault="0024050D">
      <w:pPr>
        <w:rPr>
          <w:rFonts w:ascii="Arial" w:eastAsia="Times New Roman" w:hAnsi="Arial" w:cs="Arial"/>
          <w:szCs w:val="24"/>
          <w:lang w:eastAsia="ru-RU"/>
        </w:rPr>
      </w:pPr>
    </w:p>
    <w:p w:rsidR="0024050D" w:rsidRDefault="0024050D">
      <w:pPr>
        <w:rPr>
          <w:rFonts w:ascii="Arial" w:eastAsia="Times New Roman" w:hAnsi="Arial" w:cs="Arial"/>
          <w:szCs w:val="24"/>
          <w:lang w:eastAsia="ru-RU"/>
        </w:rPr>
      </w:pPr>
    </w:p>
    <w:p w:rsidR="0024050D" w:rsidRDefault="0024050D">
      <w:pPr>
        <w:rPr>
          <w:rFonts w:ascii="Arial" w:eastAsia="Times New Roman" w:hAnsi="Arial" w:cs="Arial"/>
          <w:szCs w:val="24"/>
          <w:lang w:eastAsia="ru-RU"/>
        </w:rPr>
      </w:pPr>
    </w:p>
    <w:p w:rsidR="0024050D" w:rsidRDefault="0024050D">
      <w:pPr>
        <w:rPr>
          <w:rFonts w:ascii="Arial" w:eastAsia="Times New Roman" w:hAnsi="Arial" w:cs="Arial"/>
          <w:szCs w:val="24"/>
          <w:lang w:eastAsia="ru-RU"/>
        </w:rPr>
      </w:pPr>
    </w:p>
    <w:p w:rsidR="0024050D" w:rsidRDefault="0024050D">
      <w:pPr>
        <w:rPr>
          <w:rFonts w:ascii="Arial" w:eastAsia="Times New Roman" w:hAnsi="Arial" w:cs="Arial"/>
          <w:szCs w:val="24"/>
          <w:lang w:eastAsia="ru-RU"/>
        </w:rPr>
      </w:pPr>
    </w:p>
    <w:p w:rsidR="0024050D" w:rsidRPr="00673EEC" w:rsidRDefault="0024050D" w:rsidP="0024050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73EEC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Проект подготовил и завизировал</w:t>
      </w:r>
    </w:p>
    <w:p w:rsidR="0024050D" w:rsidRDefault="0024050D" w:rsidP="0024050D">
      <w:pPr>
        <w:tabs>
          <w:tab w:val="left" w:pos="7230"/>
        </w:tabs>
        <w:spacing w:after="0" w:line="240" w:lineRule="auto"/>
        <w:rPr>
          <w:rFonts w:ascii="Arial" w:eastAsia="Times New Roman" w:hAnsi="Arial" w:cs="Arial"/>
          <w:szCs w:val="24"/>
          <w:lang w:eastAsia="ru-RU"/>
        </w:rPr>
      </w:pPr>
      <w:r w:rsidRPr="00673EE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Председатель КУМИ </w:t>
      </w:r>
      <w:r w:rsidRPr="00673EEC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В.В. Никифорова</w:t>
      </w:r>
      <w:bookmarkStart w:id="0" w:name="_GoBack"/>
      <w:bookmarkEnd w:id="0"/>
    </w:p>
    <w:p w:rsidR="00EC6C7F" w:rsidRPr="008B207A" w:rsidRDefault="00EC6C7F">
      <w:pPr>
        <w:rPr>
          <w:rFonts w:ascii="Arial" w:eastAsia="Times New Roman" w:hAnsi="Arial" w:cs="Arial"/>
          <w:szCs w:val="24"/>
          <w:lang w:eastAsia="ru-RU"/>
        </w:rPr>
      </w:pPr>
      <w:r w:rsidRPr="008B207A">
        <w:rPr>
          <w:rFonts w:ascii="Arial" w:eastAsia="Times New Roman" w:hAnsi="Arial" w:cs="Arial"/>
          <w:szCs w:val="24"/>
          <w:lang w:eastAsia="ru-RU"/>
        </w:rPr>
        <w:br w:type="page"/>
      </w:r>
    </w:p>
    <w:p w:rsidR="002438A2" w:rsidRPr="008B207A" w:rsidRDefault="002438A2" w:rsidP="002438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2438A2" w:rsidRPr="008B207A" w:rsidRDefault="002438A2" w:rsidP="002438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</w:p>
    <w:p w:rsidR="00EC6C7F" w:rsidRPr="008B207A" w:rsidRDefault="002438A2" w:rsidP="002438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C7F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2438A2" w:rsidRPr="008B207A" w:rsidRDefault="00EC6C7F" w:rsidP="002438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</w:p>
    <w:p w:rsidR="002438A2" w:rsidRPr="008B207A" w:rsidRDefault="002438A2" w:rsidP="002438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438A2" w:rsidRPr="008B207A" w:rsidRDefault="002438A2" w:rsidP="002438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2438A2" w:rsidRPr="008B207A" w:rsidRDefault="002438A2" w:rsidP="002438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порядке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условиях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аренду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включенного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Мошенского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 Новгородской области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предназначенного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передачи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владение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(или)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пользование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субъектам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предпринимательства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организациям,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образующим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инфраструктуру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поддержки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предпринимательства,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физическим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лицам,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применяющим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специальный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налоговый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режим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«Налог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профессиональный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доход»</w:t>
      </w:r>
      <w:proofErr w:type="gramEnd"/>
    </w:p>
    <w:p w:rsidR="002438A2" w:rsidRPr="008B207A" w:rsidRDefault="002438A2" w:rsidP="002438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положения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tgtFrame="_blank" w:history="1"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</w:t>
        </w:r>
        <w:r w:rsidR="006A4EE7"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24</w:t>
        </w:r>
        <w:r w:rsidR="006A4EE7"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июля</w:t>
        </w:r>
        <w:r w:rsidR="006A4EE7"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2007</w:t>
        </w:r>
        <w:r w:rsidR="006A4EE7"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года</w:t>
        </w:r>
        <w:r w:rsidR="006A4EE7"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6A4EE7"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209-ФЗ</w:t>
        </w:r>
      </w:hyperlink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"О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Федерации",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tgtFrame="_blank" w:history="1"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</w:t>
        </w:r>
        <w:r w:rsidR="006A4EE7"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26</w:t>
        </w:r>
        <w:r w:rsidR="006A4EE7"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июля</w:t>
        </w:r>
        <w:r w:rsidR="006A4EE7"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2006</w:t>
        </w:r>
        <w:r w:rsidR="006A4EE7"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года</w:t>
        </w:r>
        <w:r w:rsidR="006A4EE7"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6A4EE7"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135-ФЗ</w:t>
        </w:r>
      </w:hyperlink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"О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конкуренции",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антимонопольной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10.02.2010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доверительного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имуществом,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предусматривающих</w:t>
      </w:r>
      <w:proofErr w:type="gramEnd"/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конкурса»,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доверительное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8B207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</w:t>
      </w:r>
      <w:hyperlink r:id="rId8" w:tgtFrame="_blank" w:history="1">
        <w:r w:rsidRPr="008B207A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№</w:t>
        </w:r>
        <w:r w:rsidR="006A4EE7" w:rsidRPr="008B207A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 xml:space="preserve"> </w:t>
        </w:r>
      </w:hyperlink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включенного</w:t>
      </w:r>
      <w:proofErr w:type="gramEnd"/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образующим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применяющим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«Налог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доход»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перечень).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Арендодателем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комитет).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заключить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отвечающие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применяющие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«Налог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доход»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Субъект).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tgtFrame="_blank" w:history="1"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</w:t>
        </w:r>
        <w:r w:rsidR="006A4EE7"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26.07.2006</w:t>
        </w:r>
        <w:r w:rsidR="006A4EE7"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6A4EE7"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135-ФЗ</w:t>
        </w:r>
      </w:hyperlink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"О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конкуренции"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конкуренции)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актами.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осуществляется: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1.5.1.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1.5.2.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17.1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конкуренции;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1.5.3.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преференции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конкуренции.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Новгородской области (далее - Администрация муниципального округа)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конкуренции,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антимонопольного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1.7.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преференции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комитет.</w:t>
      </w:r>
    </w:p>
    <w:p w:rsidR="002438A2" w:rsidRPr="008B207A" w:rsidRDefault="002438A2" w:rsidP="002438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имущества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(уполномоченное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заявлению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прилагают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документы: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учредительных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органе;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подтверждающий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подписавшего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доверенность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лицом).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предприниматели,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применяющие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«Налог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доход»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заявлению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прилагают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документы: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предпринимателя;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органе;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доверенность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лицом);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удостоверяющего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преференции,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документы: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осуществляемых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осуществлявшихся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предшествующих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подтверждающих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подтверждавших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требуются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требовались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разрешения;</w:t>
      </w:r>
      <w:proofErr w:type="gramEnd"/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произведенных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реализованных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предшествующих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8BA" w:rsidRP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бухгалтерский баланс хозяйствующего субъекта, в отношении которого имеется намерение предоставить государственную или муниципальную преференцию, по состоянию на последнюю отчетную дату, предшествующую дате подачи заявления, в случае отсутствия указанного бухгалтерского баланса в государственном информационном ресурсе бухгалтерской (финансовой) отчетности, предусмотренном статьей 18 Федерального закона от 6 декабря 2011 года N 402-ФЗ "О бухгалтерском учете" (далее - государственный информационный ресурс бухгалтерской (финансовой) отчетности</w:t>
      </w:r>
      <w:proofErr w:type="gramEnd"/>
      <w:r w:rsidR="006B28BA" w:rsidRP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>),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документация. В случае</w:t>
      </w:r>
      <w:proofErr w:type="gramStart"/>
      <w:r w:rsidR="006B28BA" w:rsidRP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6B28BA" w:rsidRP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хозяйствующий субъект представляет годовую бухгалтерскую (финансовую) отчетность в целях формирования государственного информационного ресурса бухгалтерской (финансовой) отчетности,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</w:t>
      </w:r>
      <w:r w:rsid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электронного взаимодействия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входящих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вхождения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эту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группу;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учредительных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делопроизводства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проставляется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рассмотрению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определению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сдачи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образующим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состоять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координационного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совет).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Кандидатуры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советом.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правомочным,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присутствует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половины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равенстве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решающим.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оформляются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протоколом.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решений: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2.4.1.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испрашиваемого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2.4.2.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испрашиваемого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антимонопольный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конкуренции;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2.4.3.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испрашиваемого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отказа).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2.5.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направлялись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антимонопольный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антимонопольного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постановлений: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2.5.1.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испрашиваемого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2.5.2.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испрашиваемого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торгов).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(аукционной)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предусматривающих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Мошенского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2.5.3.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испрашиваемого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отказа).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8BA" w:rsidRP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муниципального имущества отказывается в том случае</w:t>
      </w:r>
      <w:r w:rsid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если: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организацией,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образующей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применяющим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«Налог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доход»;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Положения;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2.6.3.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имущества;</w:t>
      </w:r>
    </w:p>
    <w:p w:rsidR="002438A2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2.6.4.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B28BA" w:rsidRP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анее в отношении заявителя было принято решение об оказании аналогичной поддержки (поддержки, </w:t>
      </w:r>
      <w:proofErr w:type="gramStart"/>
      <w:r w:rsidR="006B28BA" w:rsidRP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</w:t>
      </w:r>
      <w:proofErr w:type="gramEnd"/>
      <w:r w:rsidR="006B28BA" w:rsidRP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6B28BA" w:rsidRPr="008B207A" w:rsidRDefault="006B28BA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2.6.5. </w:t>
      </w:r>
      <w:proofErr w:type="gramStart"/>
      <w:r w:rsidRP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 ранее владел и (или) пользовался переданным муниципальным имуществом с нарушением существенных условий договора пользования такого имущества, целевого назначения муниципального имущества, а также с нарушением норм действующего законодательства, в случае, если с даты признания субъекта совершившим нарушение прошло менее одного года, за исключением случая более раннего устранения субъектом такого нарушения при условии соблюдения им срока устранения такого нарушения, установленного комитетом</w:t>
      </w:r>
      <w:proofErr w:type="gramEnd"/>
      <w:r w:rsidRP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в случае, если нарушение связано с нецелевым использованием имущества  или представлением недостоверных сведений и документов, </w:t>
      </w:r>
      <w:proofErr w:type="gramStart"/>
      <w:r w:rsidRP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признания</w:t>
      </w:r>
      <w:proofErr w:type="gramEnd"/>
      <w:r w:rsidRP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 совершившим такое нарушение прошло менее трех лет.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2.7.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рассмотрению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Субъекту,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обратился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2.8.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подавшего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2.5.1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аренды.</w:t>
      </w:r>
    </w:p>
    <w:p w:rsidR="002438A2" w:rsidRPr="008B207A" w:rsidRDefault="002438A2" w:rsidP="002438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</w:t>
      </w:r>
      <w:r w:rsidR="006A4EE7"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имущества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арендной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действующими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ставками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арендной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арендная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итогах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приобретающего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пользования.</w:t>
      </w:r>
    </w:p>
    <w:p w:rsidR="002438A2" w:rsidRPr="008B207A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3.3.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Запрещается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продажа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государственного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включенного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перечень,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исключением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возмездного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отчуждения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такого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собственность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субъектов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предпринимательства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соответствии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Федеральным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законом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hyperlink r:id="rId10" w:tgtFrame="_blank" w:history="1">
        <w:r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от</w:t>
        </w:r>
        <w:r w:rsidR="006A4EE7"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22</w:t>
        </w:r>
        <w:r w:rsidR="006A4EE7"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июля</w:t>
        </w:r>
        <w:r w:rsidR="006A4EE7"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2008</w:t>
        </w:r>
        <w:r w:rsidR="006A4EE7"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года</w:t>
        </w:r>
        <w:r w:rsidR="006A4EE7"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№</w:t>
        </w:r>
        <w:r w:rsidR="006A4EE7"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159-ФЗ</w:t>
        </w:r>
      </w:hyperlink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"Об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особенностях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отчуждения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недвижимого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находящегося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государственной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или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муниципальной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собственности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арендуемого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субъектами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предпринимательства,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внесении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изменений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отдельные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законодательные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акты</w:t>
      </w:r>
      <w:proofErr w:type="gramEnd"/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Российской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Федерации"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случаях,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указанных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подпунктах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6,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пункта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статьи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39.3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hyperlink r:id="rId11" w:tgtFrame="_blank" w:history="1">
        <w:r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Земельного</w:t>
        </w:r>
        <w:r w:rsidR="006A4EE7"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кодекса</w:t>
        </w:r>
      </w:hyperlink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Российской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Федерации.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отношении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указанного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запрещаются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также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переуступка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прав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пользования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им,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передача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прав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пользования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им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залог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внесение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прав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пользования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таким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имуществом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уставный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капитал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любых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других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субъектов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хозяйственной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деятельности,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передача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третьим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лицам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прав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обязанностей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договорам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аренды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такого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(перенаем),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передача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субаренду,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исключением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предоставления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такого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имущества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субаренду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субъектам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предпринимательства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организациями,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образующими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инфраструктуру</w:t>
      </w:r>
      <w:proofErr w:type="gramEnd"/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поддержки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субъектов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малого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среднего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предпринимательства,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случае,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если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субаренду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предоставляется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имущество,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предусмотренное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пунктом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14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части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статьи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17.1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Федерального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закона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hyperlink r:id="rId12" w:tgtFrame="_blank" w:history="1">
        <w:r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от</w:t>
        </w:r>
        <w:r w:rsidR="006A4EE7"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26</w:t>
        </w:r>
        <w:r w:rsidR="006A4EE7"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июля</w:t>
        </w:r>
        <w:r w:rsidR="006A4EE7"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2006</w:t>
        </w:r>
        <w:r w:rsidR="006A4EE7"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года</w:t>
        </w:r>
        <w:r w:rsidR="006A4EE7"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№</w:t>
        </w:r>
        <w:r w:rsidR="006A4EE7"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  <w:r w:rsidRPr="008B207A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135-ФЗ</w:t>
        </w:r>
      </w:hyperlink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"О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защите</w:t>
      </w:r>
      <w:r w:rsidR="006A4EE7"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конкуренции".</w:t>
      </w:r>
    </w:p>
    <w:p w:rsidR="002438A2" w:rsidRDefault="002438A2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Документом,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регламентирующим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сдаче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аренды.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</w:t>
      </w:r>
      <w:r w:rsidR="006A4EE7"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комитетом.</w:t>
      </w:r>
    </w:p>
    <w:p w:rsidR="006B28BA" w:rsidRDefault="006B28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B28BA" w:rsidRPr="008B207A" w:rsidRDefault="006B28BA" w:rsidP="002438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8BA" w:rsidRPr="006B28BA" w:rsidRDefault="006B28BA" w:rsidP="006B28BA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6B28BA" w:rsidRPr="006B28BA" w:rsidRDefault="006B28BA" w:rsidP="006B28BA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6B28BA" w:rsidRPr="006B28BA" w:rsidTr="00756CC4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28BA" w:rsidRPr="006B28BA" w:rsidRDefault="006B28BA" w:rsidP="006B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 решения Думы Мошенского муниципального округа Новгородской области</w:t>
            </w:r>
          </w:p>
        </w:tc>
        <w:tc>
          <w:tcPr>
            <w:tcW w:w="496" w:type="dxa"/>
            <w:gridSpan w:val="2"/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28BA" w:rsidRPr="006B28BA" w:rsidRDefault="006B28BA" w:rsidP="006B28BA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28BA" w:rsidRPr="006B28BA" w:rsidRDefault="006B28BA" w:rsidP="006B28BA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28BA" w:rsidRPr="006B28BA" w:rsidTr="00756CC4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документа)</w:t>
            </w:r>
          </w:p>
        </w:tc>
        <w:tc>
          <w:tcPr>
            <w:tcW w:w="236" w:type="dxa"/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B28BA" w:rsidRPr="006B28BA" w:rsidRDefault="006B28BA" w:rsidP="006B28BA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21"/>
        <w:gridCol w:w="2800"/>
      </w:tblGrid>
      <w:tr w:rsidR="006B28BA" w:rsidRPr="006B28BA" w:rsidTr="00756CC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ind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Дата</w:t>
            </w:r>
            <w:r w:rsidRPr="006B28B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br/>
              <w:t>поступления</w:t>
            </w:r>
            <w:r w:rsidRPr="006B28B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br/>
              <w:t>на согласование,</w:t>
            </w:r>
            <w:r w:rsidRPr="006B28B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br/>
              <w:t>подпись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ind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Наименование должности, инициалы</w:t>
            </w:r>
            <w:r w:rsidRPr="006B28B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br/>
              <w:t>и фамилия руководителя, с которым</w:t>
            </w:r>
            <w:r w:rsidRPr="006B28B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br/>
              <w:t>согласуется проект документа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ind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Дата и номер документа,  подтверждающего </w:t>
            </w:r>
            <w:r w:rsidRPr="006B28B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br/>
              <w:t>согласование, или дата</w:t>
            </w:r>
            <w:r w:rsidRPr="006B28B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br/>
              <w:t xml:space="preserve">согласования, подпись </w:t>
            </w:r>
          </w:p>
        </w:tc>
      </w:tr>
      <w:tr w:rsidR="006B28BA" w:rsidRPr="006B28BA" w:rsidTr="00756CC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BA" w:rsidRPr="006B28BA" w:rsidRDefault="006B28BA" w:rsidP="006B28BA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Юрист </w:t>
            </w:r>
            <w:proofErr w:type="spellStart"/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Н.С.Пешко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BA" w:rsidRPr="006B28BA" w:rsidRDefault="006B28BA" w:rsidP="006B28BA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8BA" w:rsidTr="006B28B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BA" w:rsidRDefault="006B28B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BA" w:rsidRDefault="006B28BA">
            <w:pPr>
              <w:tabs>
                <w:tab w:val="left" w:pos="6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Контрольно-счетной комиссии Мошенского муниципального округа Новгородской области О. Б. Беляева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BA" w:rsidRDefault="006B28B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69B5" w:rsidTr="006B28B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B5" w:rsidRDefault="008369B5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B5" w:rsidRDefault="008369B5">
            <w:pPr>
              <w:tabs>
                <w:tab w:val="left" w:pos="6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B5" w:rsidRDefault="008369B5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28BA" w:rsidRPr="006B28BA" w:rsidRDefault="006B28BA" w:rsidP="006B28BA">
      <w:pPr>
        <w:tabs>
          <w:tab w:val="left" w:pos="6800"/>
        </w:tabs>
        <w:spacing w:before="120" w:after="0" w:line="240" w:lineRule="exact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B28BA" w:rsidRPr="006B28BA" w:rsidRDefault="006B28BA" w:rsidP="006B28BA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2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УКАЗАТЕЛЬ РАССЫЛКИ</w:t>
      </w:r>
    </w:p>
    <w:p w:rsidR="006B28BA" w:rsidRPr="006B28BA" w:rsidRDefault="006B28BA" w:rsidP="006B28BA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28BA" w:rsidRPr="006B28BA" w:rsidRDefault="006B28BA" w:rsidP="006B28BA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2062"/>
      </w:tblGrid>
      <w:tr w:rsidR="006B28BA" w:rsidRPr="006B28BA" w:rsidTr="00756CC4"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Думы</w:t>
            </w:r>
          </w:p>
        </w:tc>
        <w:tc>
          <w:tcPr>
            <w:tcW w:w="496" w:type="dxa"/>
            <w:gridSpan w:val="2"/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28BA" w:rsidRPr="006B28BA" w:rsidRDefault="006B28BA" w:rsidP="006B28BA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28BA" w:rsidRPr="006B28BA" w:rsidRDefault="006B28BA" w:rsidP="006B28BA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8BA" w:rsidRPr="006B28BA" w:rsidTr="00756CC4"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документа)</w:t>
            </w:r>
          </w:p>
        </w:tc>
        <w:tc>
          <w:tcPr>
            <w:tcW w:w="236" w:type="dxa"/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8BA" w:rsidRPr="006B28BA" w:rsidTr="00756CC4">
        <w:tc>
          <w:tcPr>
            <w:tcW w:w="94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28BA" w:rsidRPr="006B28BA" w:rsidRDefault="006B28BA" w:rsidP="006B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28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Положения о порядке и условиях предоставления в аренду муниципального имущества, включенного в перечень муниципального имущества Мошенского муниципального округа,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физическим лицам, применяющим специальный налоговый режим «Налог на профессиональный доход»</w:t>
            </w:r>
            <w:proofErr w:type="gramEnd"/>
          </w:p>
        </w:tc>
      </w:tr>
      <w:tr w:rsidR="006B28BA" w:rsidRPr="006B28BA" w:rsidTr="00756CC4">
        <w:trPr>
          <w:trHeight w:val="393"/>
        </w:trPr>
        <w:tc>
          <w:tcPr>
            <w:tcW w:w="946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(заголовок к тексту)</w:t>
            </w:r>
          </w:p>
        </w:tc>
      </w:tr>
    </w:tbl>
    <w:p w:rsidR="006B28BA" w:rsidRPr="006B28BA" w:rsidRDefault="006B28BA" w:rsidP="006B28BA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2920"/>
        <w:gridCol w:w="2586"/>
        <w:gridCol w:w="1410"/>
        <w:gridCol w:w="1719"/>
      </w:tblGrid>
      <w:tr w:rsidR="006B28BA" w:rsidRPr="006B28BA" w:rsidTr="006B28BA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адресата (должностное лицо, </w:t>
            </w:r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структурное подразделение, др.)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экземпляров</w:t>
            </w:r>
          </w:p>
        </w:tc>
      </w:tr>
      <w:tr w:rsidR="006B28BA" w:rsidTr="006B28BA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BA" w:rsidRDefault="006B28B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BA" w:rsidRDefault="006B28BA">
            <w:pPr>
              <w:tabs>
                <w:tab w:val="left" w:pos="6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Дума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BA" w:rsidRDefault="006B28B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8BA" w:rsidTr="006B28BA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BA" w:rsidRDefault="006B28B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BA" w:rsidRDefault="006B28BA">
            <w:pPr>
              <w:tabs>
                <w:tab w:val="left" w:pos="6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BA" w:rsidRDefault="006B28B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8BA" w:rsidTr="006B28BA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BA" w:rsidRDefault="006B28B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BA" w:rsidRDefault="006B28BA">
            <w:pPr>
              <w:tabs>
                <w:tab w:val="left" w:pos="6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Официальный вестник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BA" w:rsidRDefault="006B28B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8BA" w:rsidTr="006B28BA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BA" w:rsidRDefault="006B28B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BA" w:rsidRDefault="006B28BA">
            <w:pPr>
              <w:tabs>
                <w:tab w:val="left" w:pos="6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BA" w:rsidRDefault="006B28B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8BA" w:rsidRPr="006B28BA" w:rsidTr="00756CC4">
        <w:tc>
          <w:tcPr>
            <w:tcW w:w="7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BA" w:rsidRPr="006B28BA" w:rsidRDefault="006B28BA" w:rsidP="006B28BA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B28BA" w:rsidRPr="006B28BA" w:rsidTr="00756CC4">
        <w:tc>
          <w:tcPr>
            <w:tcW w:w="3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28BA" w:rsidRPr="006B28BA" w:rsidRDefault="006B28BA" w:rsidP="006B28BA">
            <w:pPr>
              <w:spacing w:before="120"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28BA" w:rsidRPr="006B28BA" w:rsidRDefault="006B28BA" w:rsidP="006B28BA">
            <w:pPr>
              <w:spacing w:before="120"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 КУМИ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28BA" w:rsidRPr="006B28BA" w:rsidRDefault="006B28BA" w:rsidP="006B28BA">
            <w:pPr>
              <w:spacing w:before="120" w:after="0" w:line="240" w:lineRule="exact"/>
              <w:ind w:right="3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B28BA" w:rsidRPr="006B28BA" w:rsidRDefault="006B28BA" w:rsidP="006B28BA">
            <w:pPr>
              <w:spacing w:before="120" w:after="0" w:line="240" w:lineRule="exact"/>
              <w:ind w:right="3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В.В. Никифорова</w:t>
            </w:r>
          </w:p>
        </w:tc>
      </w:tr>
      <w:tr w:rsidR="006B28BA" w:rsidRPr="006B28BA" w:rsidTr="00756CC4">
        <w:tc>
          <w:tcPr>
            <w:tcW w:w="3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28BA" w:rsidRPr="006B28BA" w:rsidRDefault="006B28BA" w:rsidP="006B28BA">
            <w:pPr>
              <w:spacing w:after="0"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28BA" w:rsidRPr="006B28BA" w:rsidRDefault="006B28BA" w:rsidP="006B28BA">
            <w:pPr>
              <w:spacing w:after="0" w:line="240" w:lineRule="exact"/>
              <w:ind w:right="-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(подпись)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28BA" w:rsidRPr="006B28BA" w:rsidRDefault="006B28BA" w:rsidP="006B28BA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28BA" w:rsidRPr="006B28BA" w:rsidTr="00756CC4">
        <w:trPr>
          <w:trHeight w:val="453"/>
        </w:trPr>
        <w:tc>
          <w:tcPr>
            <w:tcW w:w="3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28BA" w:rsidRPr="006B28BA" w:rsidRDefault="006B28BA" w:rsidP="006B28BA">
            <w:pPr>
              <w:spacing w:before="120" w:after="0" w:line="240" w:lineRule="exact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</w:tcPr>
          <w:p w:rsidR="006B28BA" w:rsidRPr="006B28BA" w:rsidRDefault="006B28BA" w:rsidP="006B28BA">
            <w:pPr>
              <w:spacing w:before="120" w:after="0" w:line="240" w:lineRule="exact"/>
              <w:ind w:right="3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28BA" w:rsidRPr="006B28BA" w:rsidRDefault="006B28BA" w:rsidP="006B28BA">
            <w:pPr>
              <w:spacing w:before="120" w:after="0" w:line="240" w:lineRule="exact"/>
              <w:ind w:right="3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69B5" w:rsidRDefault="008369B5">
      <w:pPr>
        <w:rPr>
          <w:rFonts w:ascii="Times New Roman" w:hAnsi="Times New Roman" w:cs="Times New Roman"/>
          <w:sz w:val="28"/>
          <w:szCs w:val="28"/>
        </w:rPr>
      </w:pPr>
    </w:p>
    <w:p w:rsidR="008369B5" w:rsidRDefault="008369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369B5" w:rsidRDefault="008369B5" w:rsidP="008369B5">
      <w:pPr>
        <w:tabs>
          <w:tab w:val="left" w:pos="2338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ФИНАНСОВО-ЭКОНОМИЧЕСКОЕ ОБОСНОВАНИЕ</w:t>
      </w:r>
    </w:p>
    <w:p w:rsidR="008369B5" w:rsidRDefault="008369B5" w:rsidP="008369B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решения Думы «</w:t>
      </w:r>
      <w:r w:rsidRP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и условиях предоставления в аренду муниципального имущества, включенного в перечень муниципального имущества Мошенского муниципального округа,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физическим лицам, применяющим специальный налоговый режим «Нал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 на профессиональный доход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8369B5" w:rsidRDefault="008369B5" w:rsidP="008369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8369B5" w:rsidRDefault="008369B5" w:rsidP="008369B5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Думы «</w:t>
      </w:r>
      <w:r w:rsidRP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и условиях предоставления в аренду муниципального имущества, включенного в перечень муниципального имущества Мошенского муниципального округа,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физическим лицам, применяющим специальный налоговый режим «Нал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 на профессиональный доход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не повлечет за собой дополнительных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из бюджета округа.</w:t>
      </w:r>
    </w:p>
    <w:p w:rsidR="008369B5" w:rsidRDefault="008369B5" w:rsidP="008369B5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9B5" w:rsidRDefault="008369B5" w:rsidP="008369B5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Справка о состоянии законодательства</w:t>
      </w:r>
    </w:p>
    <w:p w:rsidR="008369B5" w:rsidRDefault="008369B5" w:rsidP="008369B5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69B5" w:rsidRDefault="008369B5" w:rsidP="00836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 принятия решения «</w:t>
      </w:r>
      <w:r w:rsidRP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и условиях предоставления в аренду муниципального имущества, включенного в перечень муниципального имущества Мошенского муниципального округа,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физическим лицам, применяющим специальный налоговый режим «Нал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 на профессиональный доход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потребуется признания утратившими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Думы Мошенского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Новгородской области от 25 февраля 2021 № 56 «Об утверждении Положения о порядке и условиях предоставления в аренду муниципального имущества, включенного в перечень муниципального имущества Мошенского муниципального округа,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физическим лицам, применяющим специальный налоговый режим</w:t>
      </w:r>
      <w:proofErr w:type="gramEnd"/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«Налог на профессиональный доход»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69B5" w:rsidRDefault="008369B5" w:rsidP="008369B5">
      <w:pPr>
        <w:tabs>
          <w:tab w:val="left" w:pos="2338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369B5" w:rsidRDefault="008369B5" w:rsidP="008369B5">
      <w:pPr>
        <w:tabs>
          <w:tab w:val="left" w:pos="2338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8369B5" w:rsidRDefault="008369B5" w:rsidP="008369B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решения Думы «</w:t>
      </w:r>
      <w:r w:rsidRPr="006B28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и условиях предоставления в аренду муниципального имущества, включенного в перечень муниципального имущества Мошенского муниципального округа,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физическим лицам, применяющим специальный налоговый режим «Нал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 на профессиональный доход»</w:t>
      </w:r>
      <w:proofErr w:type="gramEnd"/>
    </w:p>
    <w:p w:rsidR="008369B5" w:rsidRDefault="008369B5" w:rsidP="008369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8551A5" w:rsidRPr="008B207A" w:rsidRDefault="008369B5" w:rsidP="008369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решение принимается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Федеральным законом от 24 июля 2007 года № 209-ФЗ "О развитии малого и среднего предпринимательства в Российской Федерации", Федеральным законом </w:t>
      </w:r>
      <w:hyperlink r:id="rId13" w:tgtFrame="_blank" w:history="1">
        <w:r w:rsidRPr="008B20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26 июля 2006 года № 135-ФЗ</w:t>
        </w:r>
      </w:hyperlink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защите конкуренции"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Мошенского муниципального округа Новгородской области, Положением о порядке управления и распоряжения муниципальным имуществом Мошенского муниципального округа Новгородской области, утвержденным решением Думы Мошенского муниципального округа от</w:t>
      </w:r>
      <w:proofErr w:type="gramEnd"/>
      <w:r w:rsidRPr="008B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20.02.2025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232.</w:t>
      </w:r>
    </w:p>
    <w:sectPr w:rsidR="008551A5" w:rsidRPr="008B2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A55"/>
    <w:rsid w:val="00053357"/>
    <w:rsid w:val="00083D12"/>
    <w:rsid w:val="0024050D"/>
    <w:rsid w:val="002438A2"/>
    <w:rsid w:val="00261F70"/>
    <w:rsid w:val="002B6CD1"/>
    <w:rsid w:val="00422492"/>
    <w:rsid w:val="006A4EE7"/>
    <w:rsid w:val="006B28BA"/>
    <w:rsid w:val="006B307E"/>
    <w:rsid w:val="008369B5"/>
    <w:rsid w:val="008551A5"/>
    <w:rsid w:val="008B207A"/>
    <w:rsid w:val="00E06A55"/>
    <w:rsid w:val="00EC6C7F"/>
    <w:rsid w:val="00F7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2438A2"/>
  </w:style>
  <w:style w:type="paragraph" w:styleId="a4">
    <w:name w:val="Balloon Text"/>
    <w:basedOn w:val="a"/>
    <w:link w:val="a5"/>
    <w:uiPriority w:val="99"/>
    <w:semiHidden/>
    <w:unhideWhenUsed/>
    <w:rsid w:val="00422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9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8369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2438A2"/>
  </w:style>
  <w:style w:type="paragraph" w:styleId="a4">
    <w:name w:val="Balloon Text"/>
    <w:basedOn w:val="a"/>
    <w:link w:val="a5"/>
    <w:uiPriority w:val="99"/>
    <w:semiHidden/>
    <w:unhideWhenUsed/>
    <w:rsid w:val="00422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9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8369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3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FC883D72-443A-4A49-8292-46D77912CB0D" TargetMode="External"/><Relationship Id="rId13" Type="http://schemas.openxmlformats.org/officeDocument/2006/relationships/hyperlink" Target="https://pravo-search.minjust.ru/bigs/showDocument.html?id=46FE6122-83A1-41D3-A87F-CA82977FB1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46FE6122-83A1-41D3-A87F-CA82977FB101" TargetMode="External"/><Relationship Id="rId12" Type="http://schemas.openxmlformats.org/officeDocument/2006/relationships/hyperlink" Target="https://pravo-search.minjust.ru/bigs/showDocument.html?id=46FE6122-83A1-41D3-A87F-CA82977FB10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45004C75-5243-401B-8C73-766DB0B42115" TargetMode="External"/><Relationship Id="rId11" Type="http://schemas.openxmlformats.org/officeDocument/2006/relationships/hyperlink" Target="https://pravo-search.minjust.ru/bigs/showDocument.html?id=9CF2F1C3-393D-4051-A52D-9923B0E51C0C" TargetMode="External"/><Relationship Id="rId5" Type="http://schemas.openxmlformats.org/officeDocument/2006/relationships/hyperlink" Target="https://pravo-search.minjust.ru/bigs/showDocument.html?id=46FE6122-83A1-41D3-A87F-CA82977FB10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pravo-search.minjust.ru/bigs/showDocument.html?id=8E7921C4-9F50-451D-8A16-D581BBBF03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46FE6122-83A1-41D3-A87F-CA82977FB1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3583</Words>
  <Characters>20429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Дмитриева</dc:creator>
  <cp:lastModifiedBy>Светлана Дмитриева</cp:lastModifiedBy>
  <cp:revision>4</cp:revision>
  <cp:lastPrinted>2025-06-17T07:28:00Z</cp:lastPrinted>
  <dcterms:created xsi:type="dcterms:W3CDTF">2025-06-17T07:24:00Z</dcterms:created>
  <dcterms:modified xsi:type="dcterms:W3CDTF">2025-06-17T07:30:00Z</dcterms:modified>
</cp:coreProperties>
</file>