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08"/>
        <w:gridCol w:w="4947"/>
      </w:tblGrid>
      <w:tr w:rsidR="00132D1E" w:rsidTr="00132D1E">
        <w:trPr>
          <w:trHeight w:val="227"/>
        </w:trPr>
        <w:tc>
          <w:tcPr>
            <w:tcW w:w="2356" w:type="pct"/>
            <w:noWrap/>
            <w:vAlign w:val="bottom"/>
            <w:hideMark/>
          </w:tcPr>
          <w:p w:rsidR="00132D1E" w:rsidRDefault="00132D1E"/>
        </w:tc>
        <w:tc>
          <w:tcPr>
            <w:tcW w:w="2644" w:type="pct"/>
            <w:hideMark/>
          </w:tcPr>
          <w:p w:rsidR="00132D1E" w:rsidRPr="00132D1E" w:rsidRDefault="00132D1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7</w:t>
            </w:r>
          </w:p>
          <w:p w:rsidR="00132D1E" w:rsidRDefault="00132D1E">
            <w:pPr>
              <w:tabs>
                <w:tab w:val="center" w:pos="4153"/>
                <w:tab w:val="right" w:pos="8306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pacing w:val="-8"/>
                <w:sz w:val="28"/>
                <w:szCs w:val="28"/>
                <w:lang w:eastAsia="en-US"/>
              </w:rPr>
              <w:t>к решению Думы Мошенского муниципального округа Новгородской области «О бюджете Мошенского муниципального округа Новгородской области на 2025 год и на плановый период 2026 и 2027 годов»</w:t>
            </w:r>
          </w:p>
        </w:tc>
      </w:tr>
    </w:tbl>
    <w:p w:rsidR="00132D1E" w:rsidRDefault="00132D1E"/>
    <w:p w:rsidR="00132D1E" w:rsidRDefault="00132D1E" w:rsidP="00132D1E"/>
    <w:p w:rsidR="00132D1E" w:rsidRDefault="00132D1E" w:rsidP="00132D1E">
      <w:pPr>
        <w:tabs>
          <w:tab w:val="left" w:pos="2415"/>
        </w:tabs>
        <w:jc w:val="center"/>
        <w:rPr>
          <w:b/>
        </w:rPr>
      </w:pPr>
      <w:r w:rsidRPr="00132D1E">
        <w:rPr>
          <w:b/>
          <w:sz w:val="28"/>
        </w:rPr>
        <w:t>Распределение бюджетных ассигнований по разделам, подразделам, целевым статьям (муниципальным программам Мошенского муниципального округа Новгородской области и непрограммным направлениям деятельности), группам и подгрупп</w:t>
      </w:r>
      <w:r>
        <w:rPr>
          <w:b/>
          <w:sz w:val="28"/>
        </w:rPr>
        <w:t>ам видов расходов классификации</w:t>
      </w:r>
      <w:r w:rsidRPr="00132D1E">
        <w:rPr>
          <w:b/>
          <w:sz w:val="28"/>
        </w:rPr>
        <w:t xml:space="preserve"> расходов бюджета Мошенского муниципального округа Новгородской области на 2025 год и на плановый период 2026 и 2027 годов</w:t>
      </w:r>
    </w:p>
    <w:p w:rsidR="00132D1E" w:rsidRDefault="00132D1E" w:rsidP="00132D1E"/>
    <w:tbl>
      <w:tblPr>
        <w:tblW w:w="10680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785"/>
        <w:gridCol w:w="1543"/>
        <w:gridCol w:w="599"/>
        <w:gridCol w:w="1470"/>
        <w:gridCol w:w="1470"/>
        <w:gridCol w:w="1470"/>
      </w:tblGrid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tab/>
            </w:r>
            <w:r w:rsidRPr="00132D1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5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D1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D1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9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D1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0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D1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40" w:type="dxa"/>
            <w:gridSpan w:val="2"/>
            <w:shd w:val="clear" w:color="auto" w:fill="auto"/>
            <w:noWrap/>
            <w:vAlign w:val="bottom"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132D1E">
              <w:rPr>
                <w:color w:val="000000"/>
                <w:sz w:val="22"/>
                <w:szCs w:val="22"/>
              </w:rPr>
              <w:t> </w:t>
            </w:r>
          </w:p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132D1E">
              <w:rPr>
                <w:color w:val="000000"/>
                <w:sz w:val="22"/>
                <w:szCs w:val="22"/>
              </w:rPr>
              <w:t>Сумма (тыс. рублей)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vAlign w:val="center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132D1E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132D1E">
              <w:rPr>
                <w:color w:val="000000"/>
                <w:sz w:val="22"/>
                <w:szCs w:val="22"/>
              </w:rPr>
              <w:t>РЗ,ПР</w:t>
            </w:r>
            <w:proofErr w:type="gramEnd"/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132D1E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132D1E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84 865,39000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72 223,77800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72 207,67800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сти субъектов Российской Федерации, местных администраций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40 188,73200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33 726,73000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33 786,73000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40 188,73200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33 726,73000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33 786,73000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40 188,73200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33 726,73000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33 786,73000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37 203,22200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30 741,22000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30 801,22000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1 382,00000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884,40000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944,40000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1 382,00000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884,40000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944,40000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6 463,87800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5 851,37800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5 821,37800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Контрольно-счетная комиссия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1 633,87800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Председатель Контрольно-счетной комиссии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Аппарат Контрольно-счетной комиссии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35 174,28000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29 948,27000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29 961,47000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  <w:r w:rsidR="00396D84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t>(сверх уровня, предусмотренного соглашением)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 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Подпрограмма "Содействие развитию местного самоуправления в Мошенском муниципальном округе Новгородской области"</w:t>
            </w:r>
            <w:r w:rsidR="00396D84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t>муниципальной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Содействие развитию местного самоуправления в Мошенском муниципальном округе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подпрограммы "Содействие развитию местного самоуправления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Мошенского муниципального округа"</w:t>
            </w:r>
            <w:r w:rsidR="00396D84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t>муниципальной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хранения архивных документов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подпрограммы "Обеспечение хранения архивного фонда Мошенского муниципального округа"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</w:t>
            </w:r>
            <w:r w:rsidR="00396D84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t>"Обеспечение деятельности муниципальных учреждений и органов местного самоуправления Мошенского муниципального округа Новгородской области в сфере бухгалтерского и иного (хозяйственно-технического) обслуживания"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21 281,70000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8 589,80000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Программное обеспечение бухгалтерского учета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12 461,90000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Содержание служебных помещений и прилегающих территорий в надлежащем порядке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электронного муниципалитета и информационного общества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Создание и модернизация информационных систем органов местного самоуправления Мошенского округа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развития электронного документооборота в органах местного самоуправления Мошенского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взаимодействия информационных систем органов местного самоуправления Мошенского округа с региональными и федеральными информационными системами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Модернизация муниципальных информационных систем и автоматизированных рабочих мест, обеспечивающих межведомственное электронное взаимодействие при предоставлении государственных и муниципальных услуг в электронном виде органами местного самоуправления и подведомственными им учреждениями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приобретения и внедрения лицензионного программного обеспечения для автоматизированных рабочих мест в Администрации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Поддержание в рабочем состоянии оргтехники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Ремонт и обслуживание оргтехники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округа и муниципальными организациями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приобретения, внедрения и сопровождения специального лицензионного программного обеспечения и информационных систем для органов местного самоуправления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Формирование единого пространства доверия электронной подписи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электронными подписями, работников органов местного самоуправления, имеющих право подписи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форм поддержки социально ориентированных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некоммерческих организаций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Оказание финансовой, имущественной и информационной поддержки социально ориентированных некоммерческих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СОНКО, реализующим социально значимые программы (проекты) по видам деятельности</w:t>
            </w:r>
            <w:r w:rsidR="00396D84">
              <w:rPr>
                <w:color w:val="000000"/>
                <w:sz w:val="24"/>
                <w:szCs w:val="24"/>
              </w:rPr>
              <w:t xml:space="preserve"> в соответствии с пунктом 1 ста</w:t>
            </w:r>
            <w:r w:rsidRPr="00132D1E">
              <w:rPr>
                <w:color w:val="000000"/>
                <w:sz w:val="24"/>
                <w:szCs w:val="24"/>
              </w:rPr>
              <w:t>тьи 31.1 Федерального закона от 12.01.1996 № 7-ФЗ "О некоммерческих организациях"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497,40000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497,40000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6 705,09000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6 705,09000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4 391,85100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3 393,60000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3 313,60000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3 432,50000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2 621,30000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2 541,30000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дежурно-диспетчерской службы Администрации муниципального округа"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Материальное, техническое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Создание резерва материальных ресурсов для ликвидации чрезвычайных ситуаций Администрации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надлежащее состояние для использования их в любое время года в целях пожаротушения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959,35100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"Профилактика терроризма, экстремизма и технической защиты информационных систем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Улучшение организации и проведения профилактических мероприятий и мероприятий по информационно- пропагандистскому сопровождению антитеррористической деятельности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0620200000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Установка камер видеонаблюдения в местах скопления людей, отдыха населения, молодежи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Предупреждение нарушений общественного порядка, профилактика правонарушений в общественных местах, защита личности, общества и государства от противоправных посягательств, на основе принципов добровольности, законности, гуманности, соблюдения и защиты прав и свобод человека и гражданина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программы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60 079,88765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40 676,02085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44 161,82085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47 694,10000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31 995,30000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41 323,90000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28 315,26642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28 315,26642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28 315,26642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формирование муниципальных дорожных фондов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пользования местного значения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законопослушного поведения участников дорожного движения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пешеходов.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и проведение конкурсов, соревнований, викторин, направленных на обучение детей и подростков навыкам безопасного поведения на улицах и дорогах, в том числе приобретение материальных, технических средств, необходимых для их проведения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1 367,18765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638,00000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249,18765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"Развитие торговли в Мошенском муниципальном округе" муниципальной программы Мошенского муниципального округа Новгородской области "Обеспечение экономического развития Мошенского муниципального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249,18765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Создание условий для развития торговли на территории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округе"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Создание условий для обеспечения жителей отдаленных и (или) труднодоступных населенных пунктов Мошенского муниципального округа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249,18765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иных межбюджетных трансфертов из областного бюджета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малого и среднего предпринимательства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экономике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системы управления муниципальным имуществом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1 073,00000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эффективного использования муниципального имущества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рационального и эффективного использования земельных участков,</w:t>
            </w:r>
            <w:r w:rsidR="00396D84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t>государственная собственность на которые не разграничена, в Мошенском муниципальном округе в пределах полномочий, установленных областным законом от 27.04.2015 № 763-ОЗ "О предоставлении земельных участков на территории Новгородской области" (далее земельные участки, государственная собственность на которые не разграничена)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проведения работ в отношении границ территориальных зон и населенных пунктов Мошенского муниципального округа с целью внесения сведений в Единый государственный реестр недвижимости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"Использование и охрана земель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организации рационального использования и охраны земель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Оформление выморочных земельных участков в муниципальную собственность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19 575,03186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8 619,20000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8 635,40000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1 334,22186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«Капитальный ремонт муниципального жилищного фонда Мошенского муниципального округа Новгородской области»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899,62400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Капитальный ремонт муниципальных жилых помещений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капитального ремонта муниципального жилищного фонда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Перечисление платежей оператору фонда капитального ремонта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434,59786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по содержанию и обеспечению коммунальными услугами муниципального жилищного фонда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3 139,05400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460,60000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</w:t>
            </w:r>
            <w:r w:rsidR="00310EB1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"Энергосбережение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Сокращение объемов потребления электрической энергии муниципальными бюджетными и автономными учреждениями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Замена </w:t>
            </w:r>
            <w:proofErr w:type="gramStart"/>
            <w:r w:rsidRPr="00132D1E">
              <w:rPr>
                <w:color w:val="000000"/>
                <w:sz w:val="24"/>
                <w:szCs w:val="24"/>
              </w:rPr>
              <w:t>ламп накаливания на энергосберегающие</w:t>
            </w:r>
            <w:proofErr w:type="gramEnd"/>
            <w:r w:rsidRPr="00132D1E">
              <w:rPr>
                <w:color w:val="000000"/>
                <w:sz w:val="24"/>
                <w:szCs w:val="24"/>
              </w:rPr>
              <w:t xml:space="preserve"> и установка систем автоматического управления освещением в муниципальных бюджетных учреждениях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инфраструктуры водоснабжения и водоотведения населенных пунктов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2 648,45400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Мошенского муниципального округа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Строительство, реконструкция и капитальный ремонт объектов нецентрализованного водоснабжения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Развитие систем централизованного водоснабжения Мошенского муниципального округа путем строительства, реконструкции и капитального ремонта объектов централизованного водоснабжения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2 628,45400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Содержание и ремонт объектов централизованного водоснабжения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образований Новгородской области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487,60000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индивидуальным предпринимателям, при оказании населению услуг общественных бань,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15 101,75600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7 753,60000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7 753,60000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Патриотическое воспитание населения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13 089,31300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7 691,60000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7 691,60000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1 817,20000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1 022,20000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1 022,20000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1 385,00000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1 385,00000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1 385,00000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инициативных проектов, включенных в муниципальные программы муниципальных образований Новгородской области, обеспечивших 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Народный бюджет"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"Народный бюджет"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инициативного бюджетирования "Народный бюджет"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>Реализация практики инициативного бюджетирования "Практика поддержки местных инициатив"(ППМИ)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из областного бюджета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>Реализация практики инициативного бюджетирования «Территориальное общественное самоуправление» (ТОС)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849,00000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чистоты и порядка на территории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очагов распространения борщевика "Сосновского"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Уничтожение борщевика "Сосновского" химическим методом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современной городской среды на территории села Мошенское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Региональный проект "Формирование комфортной городской среды" (Новгородская область)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250И400000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образований Новгородской области на реализацию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Предупреждение причинения вреда окружающей среде и здоровья населения при размещении твердых коммунальных отходов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Изготовление проектно-сметной документации по рекультивации земельного участка, загрязненного в результате расположения на нём объекта размещения отходов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Противодействие возникновению мест несанкционированного размещения отходов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муниципального округа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112 590,48000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106 530,92000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106 285,82000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32 024,25000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32 024,25000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32 024,25000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19 723,70000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17 579,20000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17 579,20000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лизации муниципальной программы и прочие мероприятия в области образования"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66 960,63000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64 329,87000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64 084,77000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66 960,63000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64 329,87000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64 084,77000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образования в Мошенском муниципальном округе" муниципальной программы Мошенского муниципального округа Новгородской области "Развитие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Развитие общего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</w:t>
            </w:r>
            <w:r w:rsidR="00310EB1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 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 "Развитие обра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педагогов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подпрограммы "Развитие дополнительного образования в Мошенском муниципальном округе"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работы с обучающимися общеобразовательных организаций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Функционирование психолого- педагогического класса на базе муниципального автономного общеобразовательного учреждения "Средняя школа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с.Мошенское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65 872,13000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63 457,57000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63 212,47000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Обеспечение условий для выполнения муниципальных заданий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17 903,42000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16 027,52000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16 027,52000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41 374,13000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41 143,93000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41 050,13000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 и городского округа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Региональный проект "Педагоги и наставники (Новгородская область)"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6 594,58000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6 286,12000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6 134,82000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которой являются средства федерального и областного бюджетов)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Дополнительное образование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8 479,30000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7 789,90000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7 789,90000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</w:t>
            </w:r>
            <w:r w:rsidR="00F947FB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 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Создание условий для функционирования новых мест в образовательных организациях для реализации дополнительных общеобразовательных программ всех направленностей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5 414,20000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5 414,20000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5 414,20000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Подпрограмма "Комплексные меры противодействия наркомании и зависимости от других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веществ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0630000000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злоупотреблением наркотиками и другими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веществами в Мошенском муниципальном округе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0630100000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трудоустройства несовершеннолетних в период летних каникул с целью их занятости и отвлечения от вредных привычек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Вовлечение молодежи в социальную практику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(прочих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Патриотическое воспитание населения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(комплекса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добровольчества (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>)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Развитие добровольческой (волонтерской) деятельности в отношении отдельных категорий граждан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2800500000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Участие в региональном форуме "Серебряные сердца"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Проведение значимых региональных событий в сфере добровольчества (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2800700000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Ежегодная организация и проведение церемоний чествования добровольцев (волонтеров)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4 861,30000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4 266,40000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4 266,40000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4 762,30000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4 251,40000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4 251,40000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Подпрограмма "Организация каникулярного образовательного отдыха, здорового образа жизни" муниципальной программы Мошенского муниципального округа Новгородской области</w:t>
            </w:r>
            <w:r w:rsidR="00F947FB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каникулярного образовательного отдыха, здорового образа жизни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0930100000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Проведение мероприятий по организации деятельности летних оздоровительных лагерей с дневным пребыванием, профильных лагерей, лагерей труда и отдыха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Закрепление педагогических работников в педагогической профессии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3 789,60000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3 789,60000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2 966,20000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Повышение уровня профессиональной подготовки муниципальных служащих, служащих и лиц, замещающих муниципальные должности в органах местного самоуправления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Организация обучения муниципальных служащих, служащих и лиц, замещающих муниципальные должности по программам профессиональной переподготовки и повышение квалификации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Выплата муниципальной стипендии студентам, заключившим договор с Администрацией Мошенского муниципального округа Новгородской области о целевом обучении по программе высшего образования -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бакалавриат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по направлению подготовки</w:t>
            </w:r>
            <w:r w:rsidR="00F947FB">
              <w:rPr>
                <w:color w:val="000000"/>
                <w:sz w:val="24"/>
                <w:szCs w:val="24"/>
              </w:rPr>
              <w:t xml:space="preserve">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"Государственное и муниципальное управление"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Стипендии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41 890,04121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35 907,51400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35 908,77300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40 598,24121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34 775,81400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34 777,07300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40 598,24121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34 775,81400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34 777,07300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40 548,24121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34 725,81400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34 727,07300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Укрепление единого культурного и информационного пространства на территории Мошенского муниципального округа. Укрепление и модернизация материально-технической базы учреждений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1 214,34121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348,61400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199,87300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</w:t>
            </w:r>
            <w:r w:rsidR="00C03590">
              <w:rPr>
                <w:color w:val="000000"/>
                <w:sz w:val="24"/>
                <w:szCs w:val="24"/>
              </w:rPr>
              <w:t>и</w:t>
            </w:r>
            <w:r w:rsidRPr="00132D1E">
              <w:rPr>
                <w:color w:val="000000"/>
                <w:sz w:val="24"/>
                <w:szCs w:val="24"/>
              </w:rPr>
              <w:t xml:space="preserve"> бюджетам муниципальных районов, муниципальных округов, городского округа Новгородской области на реализацию практики инициативного бюджетирования "Наш выбор"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38 940,90000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34 042,20000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34 192,20000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и туристической деятельности на территории Мошенского муниципального округа"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реализации муниципальной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19 066,00000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18 010,30000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18 010,30000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Выплата пенсии за выслугу лет муниципальным служащим и лицам, замещавшим должности муниципальной службы в органах местного самоуправления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387,90000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Оказание мер муниципальной поддержки педагогическим работникам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Ежемесячная денежная выплата педагогическим работникам, принятым на работу на вакантные должности в общеобразовательные организации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2022-2027 годах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командировке, а также погибших (умерших) граждан, </w:t>
            </w:r>
            <w:r w:rsidRPr="00132D1E">
              <w:rPr>
                <w:color w:val="000000"/>
                <w:sz w:val="24"/>
                <w:szCs w:val="24"/>
              </w:rPr>
              <w:lastRenderedPageBreak/>
              <w:t>сотрудников; граждан, сотрудников, ставших инвалидами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области на обеспечение расходных обязательств, связанных с реализацией указа Губернатора Новгородской области от 11.10.2022 № 584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13 529,20000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13 104,40000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13 104,40000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12 678,70000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12 678,70000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12 678,70000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017E8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0950200000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жильем молодых семей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017E8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молодым семьям - участникам Программы "Обеспечение жильем молодых семей в Мошенском муниципальном округе Новгородской области" социальных выплат на приобретение жилого помещения или создание объекта индивидуального жилищного строительства, а также использования таких выплат, в соответствии с Правилами предоставления молодым семьям социальных выплат на приобретение (строительство), жилья и их ис</w:t>
            </w:r>
            <w:bookmarkStart w:id="0" w:name="_GoBack"/>
            <w:bookmarkEnd w:id="0"/>
            <w:r w:rsidRPr="00132D1E">
              <w:rPr>
                <w:color w:val="000000"/>
                <w:sz w:val="24"/>
                <w:szCs w:val="24"/>
              </w:rPr>
              <w:t>пользования утвержденными постановлением Правительства Российской Федерации от 17 декабря 2010 года № 1050 (далее - Правила), создание условий для привлечения молодыми семьями собственных средств, дополнительных финансовых средств кредитных и других организаций для приобретения жилья или строительства индивидуального жилья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(сверх уровня, предусмотренного соглашением)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5 218,70000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4 300,60000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5 218,70000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4 300,60000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5 218,70000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4 300,60000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""Развитие физической культуры и массового спорта на территории Мошенского муниципального округа Новгородской области" 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622,00000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Развитие инфраструктуры отрасли физической культуры и спорта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из областного бюджета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"Обеспечение реализации муниципальной программы "Развитие физической культуры и спорта на территории Мошенского муниципального округа Новгородской области" муниципальной 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32D1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32D1E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Обеспечение исполнения долговых обязательств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32D1E" w:rsidRPr="00132D1E" w:rsidTr="007B1E07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32D1E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4 765 400,00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9 959 100,00</w:t>
            </w:r>
          </w:p>
        </w:tc>
      </w:tr>
      <w:tr w:rsidR="00132D1E" w:rsidRPr="00132D1E" w:rsidTr="007B1E07">
        <w:trPr>
          <w:trHeight w:val="20"/>
        </w:trPr>
        <w:tc>
          <w:tcPr>
            <w:tcW w:w="6270" w:type="dxa"/>
            <w:gridSpan w:val="4"/>
            <w:shd w:val="clear" w:color="auto" w:fill="auto"/>
            <w:hideMark/>
          </w:tcPr>
          <w:p w:rsidR="00132D1E" w:rsidRPr="00132D1E" w:rsidRDefault="00132D1E" w:rsidP="007B1E07">
            <w:pPr>
              <w:spacing w:line="240" w:lineRule="exac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Всего расходов: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350 509,78172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295 243,03285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32D1E" w:rsidRPr="00132D1E" w:rsidRDefault="00132D1E" w:rsidP="007B1E07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32D1E">
              <w:rPr>
                <w:color w:val="000000"/>
                <w:spacing w:val="-20"/>
                <w:sz w:val="24"/>
                <w:szCs w:val="24"/>
              </w:rPr>
              <w:t>303 536,39185</w:t>
            </w:r>
          </w:p>
        </w:tc>
      </w:tr>
    </w:tbl>
    <w:p w:rsidR="0082083B" w:rsidRPr="00132D1E" w:rsidRDefault="0082083B" w:rsidP="00132D1E">
      <w:pPr>
        <w:tabs>
          <w:tab w:val="left" w:pos="2340"/>
        </w:tabs>
      </w:pPr>
    </w:p>
    <w:sectPr w:rsidR="0082083B" w:rsidRPr="00132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D1E"/>
    <w:rsid w:val="00017E8B"/>
    <w:rsid w:val="00132D1E"/>
    <w:rsid w:val="00310EB1"/>
    <w:rsid w:val="00396D84"/>
    <w:rsid w:val="007B1E07"/>
    <w:rsid w:val="0082083B"/>
    <w:rsid w:val="00C03590"/>
    <w:rsid w:val="00F9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5A322-4944-40DF-B1B9-BBD5FC0C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65</Pages>
  <Words>19038</Words>
  <Characters>108522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KomFin</dc:creator>
  <cp:keywords/>
  <dc:description/>
  <cp:lastModifiedBy>KomFin</cp:lastModifiedBy>
  <cp:revision>6</cp:revision>
  <dcterms:created xsi:type="dcterms:W3CDTF">2025-02-20T11:36:00Z</dcterms:created>
  <dcterms:modified xsi:type="dcterms:W3CDTF">2025-02-20T11:46:00Z</dcterms:modified>
</cp:coreProperties>
</file>